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C24" w:rsidRDefault="00DC7C24" w:rsidP="00DC7C24">
      <w:pPr>
        <w:spacing w:before="100" w:beforeAutospacing="1" w:after="100" w:afterAutospacing="1" w:line="240" w:lineRule="auto"/>
        <w:jc w:val="both"/>
        <w:outlineLvl w:val="1"/>
        <w:rPr>
          <w:rFonts w:ascii="Times New Roman" w:eastAsia="Times New Roman" w:hAnsi="Times New Roman" w:cs="Times New Roman"/>
          <w:b/>
          <w:bCs/>
          <w:sz w:val="28"/>
          <w:szCs w:val="36"/>
          <w:lang w:eastAsia="it-IT"/>
        </w:rPr>
      </w:pPr>
      <w:r>
        <w:rPr>
          <w:rFonts w:ascii="Times New Roman" w:eastAsia="Times New Roman" w:hAnsi="Times New Roman" w:cs="Times New Roman"/>
          <w:b/>
          <w:bCs/>
          <w:sz w:val="28"/>
          <w:szCs w:val="36"/>
          <w:lang w:eastAsia="it-IT"/>
        </w:rPr>
        <w:t>LE FOIBE</w:t>
      </w:r>
      <w:r w:rsidR="001F4B38">
        <w:rPr>
          <w:rFonts w:ascii="Times New Roman" w:eastAsia="Times New Roman" w:hAnsi="Times New Roman" w:cs="Times New Roman"/>
          <w:b/>
          <w:bCs/>
          <w:sz w:val="28"/>
          <w:szCs w:val="36"/>
          <w:lang w:eastAsia="it-IT"/>
        </w:rPr>
        <w:t xml:space="preserve"> </w:t>
      </w:r>
      <w:bookmarkStart w:id="0" w:name="_GoBack"/>
      <w:bookmarkEnd w:id="0"/>
    </w:p>
    <w:p w:rsidR="00DC7C24" w:rsidRPr="00DC7C24" w:rsidRDefault="00DC7C24" w:rsidP="00DC7C24">
      <w:pPr>
        <w:spacing w:before="100" w:beforeAutospacing="1" w:after="100" w:afterAutospacing="1" w:line="240" w:lineRule="auto"/>
        <w:jc w:val="both"/>
        <w:outlineLvl w:val="1"/>
        <w:rPr>
          <w:rFonts w:ascii="Times New Roman" w:eastAsia="Times New Roman" w:hAnsi="Times New Roman" w:cs="Times New Roman"/>
          <w:b/>
          <w:bCs/>
          <w:sz w:val="28"/>
          <w:szCs w:val="36"/>
          <w:lang w:eastAsia="it-IT"/>
        </w:rPr>
      </w:pPr>
      <w:r w:rsidRPr="00DC7C24">
        <w:rPr>
          <w:rFonts w:ascii="Times New Roman" w:eastAsia="Times New Roman" w:hAnsi="Times New Roman" w:cs="Times New Roman"/>
          <w:b/>
          <w:bCs/>
          <w:sz w:val="28"/>
          <w:szCs w:val="36"/>
          <w:lang w:eastAsia="it-IT"/>
        </w:rPr>
        <w:t xml:space="preserve">I massacri delle foibe e l'esodo dalmata-giuliano sono una pagina di Storia che per molti anni l'Italia ha voluto dimenticare: ospitiamo l'intervento di Luciano Garibaldi, storico e giornalista, che racconta i sanguinosi eventi che seguirono la fine della seconda guerra mondiale.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Nel 2005 gli italiani furono chiamati per la prima volta a celebrare il «Giorno del Ricordo», in memoria dei quasi ventimila nostri fratelli torturati, assassinati e gettati nelle foibe (le fenditure carsiche usate come discariche) dalle milizie della Jugoslavia di Tito alla fine della seconda guerra mondiale.</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memoria delle vittime delle foibe e degli italiani costretti all'esodo dalle ex province italiane della Venezia Giulia, dell’Istria, di Fiume e della Dalmazia è un tema che ancora divide. Eppure quelle persone meritano, esigono di essere ricordate.</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Per questo motivo proviamo a ricostruire quegli eventi drammatici, e a capire come mai questa tragedia è stata confinata nel regno dell'oblio per quasi sessant'anni. Ma andiamo con ordine.</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fine della guerra. Nel 1943, dopo tre anni di guerra, le cose si erano messe male per l'Italia. Il regime fascista di Mussolini aveva decretato il proprio fallimento con la storica riunione del Gran Consiglio del Fascismo del 25 luglio 1943. Ne erano seguiti lo scioglimento del Partito fascista, la resa dell’8 settembre, lo sfaldamento delle nostre Forze Armate.</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Nei Balcani, e particolarmente in Croazia e Slovenia, le due regioni balcaniche confinanti con l’Italia, il crollo dell’esercito italiano aveva fatalmente coinvolto le due capitali, Zagabria (Croazia) e Lubiana (Slovenia).</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"https://www.focus.it/cultura/storia/che-cosa-furono-i-massacri-delle-foibe/?modal-open=50948&amp;slide-open=zoom"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5429250" cy="2924175"/>
            <wp:effectExtent l="0" t="0" r="0" b="9525"/>
            <wp:docPr id="6" name="Immagine 6" descr="https://www.focus.it/site_stored/imgs/0005/046/mappa-foibe.570.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ocus.it/site_stored/imgs/0005/046/mappa-foibe.570.jpg">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0" cy="2924175"/>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Dove si trovano le principali foibe.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lastRenderedPageBreak/>
        <w:t xml:space="preserve">La vendetta di Tito. Qui avevano avuto il sopravvento le forze politiche comuniste guidate da Josip Broz, nome di battaglia «Tito», che avevano finalmente sconfitto i famigerati “ustascia” (i fascisti croati agli ordini del dittatore Ante </w:t>
      </w:r>
      <w:proofErr w:type="spellStart"/>
      <w:r w:rsidRPr="00DC7C24">
        <w:rPr>
          <w:rFonts w:eastAsia="Times New Roman" w:cstheme="minorHAnsi"/>
          <w:sz w:val="28"/>
          <w:szCs w:val="24"/>
          <w:lang w:eastAsia="it-IT"/>
        </w:rPr>
        <w:t>Pavelic</w:t>
      </w:r>
      <w:proofErr w:type="spellEnd"/>
      <w:r w:rsidRPr="00DC7C24">
        <w:rPr>
          <w:rFonts w:eastAsia="Times New Roman" w:cstheme="minorHAnsi"/>
          <w:sz w:val="28"/>
          <w:szCs w:val="24"/>
          <w:lang w:eastAsia="it-IT"/>
        </w:rPr>
        <w:t xml:space="preserve"> che si erano macchiati di crimini), e i non meno odiati “</w:t>
      </w:r>
      <w:proofErr w:type="spellStart"/>
      <w:r w:rsidRPr="00DC7C24">
        <w:rPr>
          <w:rFonts w:eastAsia="Times New Roman" w:cstheme="minorHAnsi"/>
          <w:sz w:val="28"/>
          <w:szCs w:val="24"/>
          <w:lang w:eastAsia="it-IT"/>
        </w:rPr>
        <w:t>domobranzi</w:t>
      </w:r>
      <w:proofErr w:type="spellEnd"/>
      <w:r w:rsidRPr="00DC7C24">
        <w:rPr>
          <w:rFonts w:eastAsia="Times New Roman" w:cstheme="minorHAnsi"/>
          <w:sz w:val="28"/>
          <w:szCs w:val="24"/>
          <w:lang w:eastAsia="it-IT"/>
        </w:rPr>
        <w:t>”, che non erano fascisti, ma semplicemente ragazzi di leva sloveni, chiamati alle armi da Lubiana a partire dal 1940, allorché la Slovenia era stata incorporata nell’Italia divenendone una provincia autonoma.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prima ondata di violenza esplose proprio dopo la firma dell’armistizio, l’8 settembre 1943: in Istria e in Dalmazia i partigiani jugoslavi di Tito si vendicarono contro i fascisti che, nell'intervallo tra le due guerre, avevano amministrato questi territori con durezza, imponendo un'italianizzazione forzata e reprimendo e osteggiando le popolazioni slave locali.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Con il crollo del regime - siamo ancora alla fine del 1943 - i fascisti e tutti gli italiani non comunisti vennero considerati nemici del popolo, prima torturati e poi gettati nelle foibe. Morirono, si stima, circa un migliaio di persone. Le prime vittime di una lunga scia di sangue.</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"https://www.focus.it/cultura/storia/che-cosa-furono-i-massacri-delle-foibe/?modal-open=50952&amp;slide-open=zoom"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2857500" cy="3990975"/>
            <wp:effectExtent l="0" t="0" r="0" b="9525"/>
            <wp:docPr id="5" name="Immagine 5" descr="https://www.focus.it/site_stored/imgs/0005/047/fascist_italianization.300.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ocus.it/site_stored/imgs/0005/047/fascist_italianization.300.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3990975"/>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Durante il fascismo l'italianizzazione della </w:t>
      </w:r>
      <w:proofErr w:type="spellStart"/>
      <w:r w:rsidRPr="00DC7C24">
        <w:rPr>
          <w:rFonts w:eastAsia="Times New Roman" w:cstheme="minorHAnsi"/>
          <w:sz w:val="28"/>
          <w:szCs w:val="24"/>
          <w:lang w:eastAsia="it-IT"/>
        </w:rPr>
        <w:t>Dalmaazia</w:t>
      </w:r>
      <w:proofErr w:type="spellEnd"/>
      <w:r w:rsidRPr="00DC7C24">
        <w:rPr>
          <w:rFonts w:eastAsia="Times New Roman" w:cstheme="minorHAnsi"/>
          <w:sz w:val="28"/>
          <w:szCs w:val="24"/>
          <w:lang w:eastAsia="it-IT"/>
        </w:rPr>
        <w:t xml:space="preserve"> e della Venezia Giulia venne perseguita seguendo, nelle intenzioni, il modello francese (attraverso una serie di provvedimenti aventi forza di legge come l'italianizzazione della toponomastica, dei nomi propri e la chiusura di scuole bilingui); nei fatti, il modello fascista.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Tito e i suoi uomini, fedelissimi di Mosca, infatti, iniziarono la loro battaglia di (</w:t>
      </w:r>
      <w:proofErr w:type="spellStart"/>
      <w:r w:rsidRPr="00DC7C24">
        <w:rPr>
          <w:rFonts w:eastAsia="Times New Roman" w:cstheme="minorHAnsi"/>
          <w:sz w:val="28"/>
          <w:szCs w:val="24"/>
          <w:lang w:eastAsia="it-IT"/>
        </w:rPr>
        <w:t>ri</w:t>
      </w:r>
      <w:proofErr w:type="spellEnd"/>
      <w:r w:rsidRPr="00DC7C24">
        <w:rPr>
          <w:rFonts w:eastAsia="Times New Roman" w:cstheme="minorHAnsi"/>
          <w:sz w:val="28"/>
          <w:szCs w:val="24"/>
          <w:lang w:eastAsia="it-IT"/>
        </w:rPr>
        <w:t xml:space="preserve">)conquista di Slovenia e Croazia - di fatto annesse al Terzo Reich - senza fare mistero </w:t>
      </w:r>
      <w:r w:rsidRPr="00DC7C24">
        <w:rPr>
          <w:rFonts w:eastAsia="Times New Roman" w:cstheme="minorHAnsi"/>
          <w:sz w:val="28"/>
          <w:szCs w:val="24"/>
          <w:lang w:eastAsia="it-IT"/>
        </w:rPr>
        <w:lastRenderedPageBreak/>
        <w:t>di volersi impadronire non solo della Dalmazia e della penisola d’Istria (dove c’erano borghi e città con comunità italiane sin dai tempi della Repubblica di Venezia), ma di tutto il Veneto, fino all’Isonzo.</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Il freno dei nazisti. Fino alla fine di aprile del 1945 i partigiani jugoslavi erano stati tenuti a freno dai tedeschi che avevano dominato Serbia, Croazia e Slovenia con il pugno di ferro dei loro ben noti sistemi (stragi, rappresaglie dieci a uno, paesi incendiati e distrutti).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Ma con il crollo del Terzo Reich nulla ormai poteva più fermare gli uomini di Tito, irreggimentati nel IX </w:t>
      </w:r>
      <w:proofErr w:type="spellStart"/>
      <w:r w:rsidRPr="00DC7C24">
        <w:rPr>
          <w:rFonts w:eastAsia="Times New Roman" w:cstheme="minorHAnsi"/>
          <w:sz w:val="28"/>
          <w:szCs w:val="24"/>
          <w:lang w:eastAsia="it-IT"/>
        </w:rPr>
        <w:t>Korpus</w:t>
      </w:r>
      <w:proofErr w:type="spellEnd"/>
      <w:r w:rsidRPr="00DC7C24">
        <w:rPr>
          <w:rFonts w:eastAsia="Times New Roman" w:cstheme="minorHAnsi"/>
          <w:sz w:val="28"/>
          <w:szCs w:val="24"/>
          <w:lang w:eastAsia="it-IT"/>
        </w:rPr>
        <w:t>, e la loro polizia segreta, l’OZNA (</w:t>
      </w:r>
      <w:proofErr w:type="spellStart"/>
      <w:r w:rsidRPr="00DC7C24">
        <w:rPr>
          <w:rFonts w:eastAsia="Times New Roman" w:cstheme="minorHAnsi"/>
          <w:i/>
          <w:iCs/>
          <w:sz w:val="28"/>
          <w:szCs w:val="24"/>
          <w:lang w:eastAsia="it-IT"/>
        </w:rPr>
        <w:t>Odeljenje</w:t>
      </w:r>
      <w:proofErr w:type="spellEnd"/>
      <w:r w:rsidRPr="00DC7C24">
        <w:rPr>
          <w:rFonts w:eastAsia="Times New Roman" w:cstheme="minorHAnsi"/>
          <w:i/>
          <w:iCs/>
          <w:sz w:val="28"/>
          <w:szCs w:val="24"/>
          <w:lang w:eastAsia="it-IT"/>
        </w:rPr>
        <w:t xml:space="preserve"> za </w:t>
      </w:r>
      <w:proofErr w:type="spellStart"/>
      <w:r w:rsidRPr="00DC7C24">
        <w:rPr>
          <w:rFonts w:eastAsia="Times New Roman" w:cstheme="minorHAnsi"/>
          <w:i/>
          <w:iCs/>
          <w:sz w:val="28"/>
          <w:szCs w:val="24"/>
          <w:lang w:eastAsia="it-IT"/>
        </w:rPr>
        <w:t>Zaštitu</w:t>
      </w:r>
      <w:proofErr w:type="spellEnd"/>
      <w:r w:rsidRPr="00DC7C24">
        <w:rPr>
          <w:rFonts w:eastAsia="Times New Roman" w:cstheme="minorHAnsi"/>
          <w:i/>
          <w:iCs/>
          <w:sz w:val="28"/>
          <w:szCs w:val="24"/>
          <w:lang w:eastAsia="it-IT"/>
        </w:rPr>
        <w:t xml:space="preserve"> </w:t>
      </w:r>
      <w:proofErr w:type="spellStart"/>
      <w:r w:rsidRPr="00DC7C24">
        <w:rPr>
          <w:rFonts w:eastAsia="Times New Roman" w:cstheme="minorHAnsi"/>
          <w:i/>
          <w:iCs/>
          <w:sz w:val="28"/>
          <w:szCs w:val="24"/>
          <w:lang w:eastAsia="it-IT"/>
        </w:rPr>
        <w:t>NAroda</w:t>
      </w:r>
      <w:proofErr w:type="spellEnd"/>
      <w:r w:rsidRPr="00DC7C24">
        <w:rPr>
          <w:rFonts w:eastAsia="Times New Roman" w:cstheme="minorHAnsi"/>
          <w:sz w:val="28"/>
          <w:szCs w:val="24"/>
          <w:lang w:eastAsia="it-IT"/>
        </w:rPr>
        <w:t>, Dipartimento per la Sicurezza del Popolo). L’obiettivo era l’occupazione dei territori italiani.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Nella primavera del 1945 l’esercito jugoslavo occupò l’Istria (fino ad allora territorio italiano, e dal '43 della Repubblica Sociale Italiana) e puntò verso Trieste, per riconquistare i territori che, alla fine della prima guerra mondiale, erano stati negati alla Jugoslavia.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La liberazione degli alleati. Non aveva fatto i conti, però, con le truppe alleate che avanzavano dal Sud della nostra penisola, dopo avere superato la Linea Gotica. La prima formazione alleata a liberare Venezia e poi Trieste fu la Divisione Neozelandese del generale </w:t>
      </w:r>
      <w:proofErr w:type="spellStart"/>
      <w:r w:rsidRPr="00DC7C24">
        <w:rPr>
          <w:rFonts w:eastAsia="Times New Roman" w:cstheme="minorHAnsi"/>
          <w:sz w:val="28"/>
          <w:szCs w:val="24"/>
          <w:lang w:eastAsia="it-IT"/>
        </w:rPr>
        <w:t>Freyberg</w:t>
      </w:r>
      <w:proofErr w:type="spellEnd"/>
      <w:r w:rsidRPr="00DC7C24">
        <w:rPr>
          <w:rFonts w:eastAsia="Times New Roman" w:cstheme="minorHAnsi"/>
          <w:sz w:val="28"/>
          <w:szCs w:val="24"/>
          <w:lang w:eastAsia="it-IT"/>
        </w:rPr>
        <w:t>, l’eroe della battaglia di Cassino, appartenente all’Ottava Armata britannica. Fu una vera e propria gara di velocità.</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Gli jugoslavi si </w:t>
      </w:r>
      <w:proofErr w:type="spellStart"/>
      <w:r w:rsidRPr="00DC7C24">
        <w:rPr>
          <w:rFonts w:eastAsia="Times New Roman" w:cstheme="minorHAnsi"/>
          <w:sz w:val="28"/>
          <w:szCs w:val="24"/>
          <w:lang w:eastAsia="it-IT"/>
        </w:rPr>
        <w:t>imadronirono</w:t>
      </w:r>
      <w:proofErr w:type="spellEnd"/>
      <w:r w:rsidRPr="00DC7C24">
        <w:rPr>
          <w:rFonts w:eastAsia="Times New Roman" w:cstheme="minorHAnsi"/>
          <w:sz w:val="28"/>
          <w:szCs w:val="24"/>
          <w:lang w:eastAsia="it-IT"/>
        </w:rPr>
        <w:t xml:space="preserve"> di Fiume e di tutta l’Istria interna, dando subito inizio a feroci esecuzioni contro gli italiani. Ma non riuscirono ad assicurarsi la preda più ambita: la città, il porto e le fabbriche di Trieste.</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"https://www.focus.it/cultura/storia/che-cosa-furono-i-massacri-delle-foibe/?modal-open=50959&amp;slide-open=zoom"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2857500" cy="3429000"/>
            <wp:effectExtent l="0" t="0" r="0" b="0"/>
            <wp:docPr id="4" name="Immagine 4" descr="https://www.focus.it/site_stored/imgs/0005/025/schema_foiba.300.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ocus.it/site_stored/imgs/0005/025/schema_foiba.300.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3429000"/>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lastRenderedPageBreak/>
        <w:t xml:space="preserve">Schema di una foiba tratto da una pubblicazione del 1946 del CNL istriano.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Infatti, la Divisione Neozelandese del generale </w:t>
      </w:r>
      <w:proofErr w:type="spellStart"/>
      <w:r w:rsidRPr="00DC7C24">
        <w:rPr>
          <w:rFonts w:eastAsia="Times New Roman" w:cstheme="minorHAnsi"/>
          <w:sz w:val="28"/>
          <w:szCs w:val="24"/>
          <w:lang w:eastAsia="it-IT"/>
        </w:rPr>
        <w:t>Freyberg</w:t>
      </w:r>
      <w:proofErr w:type="spellEnd"/>
      <w:r w:rsidRPr="00DC7C24">
        <w:rPr>
          <w:rFonts w:eastAsia="Times New Roman" w:cstheme="minorHAnsi"/>
          <w:sz w:val="28"/>
          <w:szCs w:val="24"/>
          <w:lang w:eastAsia="it-IT"/>
        </w:rPr>
        <w:t xml:space="preserve"> entrò nei sobborghi occidentali di Trieste nel tardo pomeriggio del 1° maggio 1945, mentre la città era ancora formalmente in mano ai tedeschi che, asserragliati nella fortezza di San Giusto, si arresero il 2, impedendo in tal modo a Tito di sostenere di aver «preso» Trieste.</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rabbia degli uomini di Tito si scatenò allora contro persone inermi in una saga di sangue degna degli orrori rivoluzionari della Russia del periodo 1917-1919.</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I numeri delle vittime. Tra il maggio e il giugno del 1945 migliaia di italiani dell’Istria, di Fiume e della Dalmazia furono obbligati a lasciare la loro terra. Altri furono uccisi dai partigiani di Tito, gettati nelle foibe o deportati nei campi sloveni e croati. Secondo alcune fonti le vittime di quei pochi mesi furono tra le quattromila e le seimila, per altre diecimila.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Fin dal dicembre 1945 il premier italiano Alcide De Gasperi presentò agli Alleati «una lista di nomi di 2.500 deportati dalle truppe jugoslave nella Venezia Giulia» ed indicò «in almeno 7.500 il numero degli scomparsi».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In realtà, il numero degli infoibati e dei massacrati nei lager di Tito fu ben superiore a quello temuto da De Gasperi. Le uccisioni di italiani - nel periodo tra il 1943 e il 1947 - furono almeno 20mila; gli esuli italiani costretti a lasciare le loro case almeno 250mila.</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"https://www.focus.it/cultura/storia/che-cosa-furono-i-massacri-delle-foibe/?modal-open=50965&amp;slide-open=zoom"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5429250" cy="4076700"/>
            <wp:effectExtent l="0" t="0" r="0" b="0"/>
            <wp:docPr id="3" name="Immagine 3" descr="https://www.focus.it/site_stored/imgs/0005/048/foiba_di_vines_-_recupero_cadaveri.570.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focus.it/site_stored/imgs/0005/048/foiba_di_vines_-_recupero_cadaveri.570.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4076700"/>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lastRenderedPageBreak/>
        <w:t xml:space="preserve">Recupero di resti umani dalla foiba di </w:t>
      </w:r>
      <w:proofErr w:type="spellStart"/>
      <w:r w:rsidRPr="00DC7C24">
        <w:rPr>
          <w:rFonts w:eastAsia="Times New Roman" w:cstheme="minorHAnsi"/>
          <w:sz w:val="28"/>
          <w:szCs w:val="24"/>
          <w:lang w:eastAsia="it-IT"/>
        </w:rPr>
        <w:t>Vines</w:t>
      </w:r>
      <w:proofErr w:type="spellEnd"/>
      <w:r w:rsidRPr="00DC7C24">
        <w:rPr>
          <w:rFonts w:eastAsia="Times New Roman" w:cstheme="minorHAnsi"/>
          <w:sz w:val="28"/>
          <w:szCs w:val="24"/>
          <w:lang w:eastAsia="it-IT"/>
        </w:rPr>
        <w:t xml:space="preserve">, località </w:t>
      </w:r>
      <w:proofErr w:type="spellStart"/>
      <w:r w:rsidRPr="00DC7C24">
        <w:rPr>
          <w:rFonts w:eastAsia="Times New Roman" w:cstheme="minorHAnsi"/>
          <w:sz w:val="28"/>
          <w:szCs w:val="24"/>
          <w:lang w:eastAsia="it-IT"/>
        </w:rPr>
        <w:t>Faraguni</w:t>
      </w:r>
      <w:proofErr w:type="spellEnd"/>
      <w:r w:rsidRPr="00DC7C24">
        <w:rPr>
          <w:rFonts w:eastAsia="Times New Roman" w:cstheme="minorHAnsi"/>
          <w:sz w:val="28"/>
          <w:szCs w:val="24"/>
          <w:lang w:eastAsia="it-IT"/>
        </w:rPr>
        <w:t xml:space="preserve">, presso Albona d'Istria negli ultimi mesi del 1943.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Come si moriva nelle foibe. I primi a finire in foiba nel 1945 furono carabinieri, poliziotti e guardie di finanza, nonché i pochi militari fascisti della RSI e i collaborazionisti che non erano riusciti a scappare per tempo (in mancanza di questi, si prendevano le mogli, i figli o i genitori).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Le uccisioni avvenivano in maniera spaventosamente crudele. I condannati venivano legati l’un l’altro con un lungo fil di ferro stretto ai polsi, e schierati sugli argini delle foibe. Quindi si apriva il fuoco trapassando, a raffiche di mitra, non tutto il gruppo, ma soltanto i primi tre o quattro della catena, i quali, precipitando nell’abisso, morti o gravemente feriti, trascinavano con sé gli altri sventurati, condannati così a sopravvivere per giorni sui fondali delle voragini, sui cadaveri dei loro compagni, tra sofferenze inimmaginabili.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Soltanto nella zona triestina, tremila sventurati furono gettati nella foiba di Basovizza e nelle altre foibe del Carso.</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"https://www.focus.it/cultura/storia/che-cosa-furono-i-massacri-delle-foibe/?modal-open=50969&amp;slide-open=zoom"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5429250" cy="4067175"/>
            <wp:effectExtent l="0" t="0" r="0" b="9525"/>
            <wp:docPr id="2" name="Immagine 2" descr="https://www.focus.it/site_stored/imgs/0005/027/479513272_8e53fdd665_o.570.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ocus.it/site_stored/imgs/0005/027/479513272_8e53fdd665_o.570.jp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0" cy="4067175"/>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La stratificazione della foiba di Basovizza.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Il dramma di Fiume e il destino </w:t>
      </w:r>
      <w:proofErr w:type="spellStart"/>
      <w:r w:rsidRPr="00DC7C24">
        <w:rPr>
          <w:rFonts w:eastAsia="Times New Roman" w:cstheme="minorHAnsi"/>
          <w:sz w:val="28"/>
          <w:szCs w:val="24"/>
          <w:lang w:eastAsia="it-IT"/>
        </w:rPr>
        <w:t>dell'istria</w:t>
      </w:r>
      <w:proofErr w:type="spellEnd"/>
      <w:r w:rsidRPr="00DC7C24">
        <w:rPr>
          <w:rFonts w:eastAsia="Times New Roman" w:cstheme="minorHAnsi"/>
          <w:sz w:val="28"/>
          <w:szCs w:val="24"/>
          <w:lang w:eastAsia="it-IT"/>
        </w:rPr>
        <w:t xml:space="preserve">. A Fiume, l’orrore fu tale che la città si spopolò. Interi nuclei familiari raggiunsero l’Italia ben prima che si concludessero le vicende della Conferenza della pace di Parigi (1947), alla quale - come dichiarò Churchill - erano legate le sorti dell’Istria e della Venezia Giulia. Fu una fuga di massa. </w:t>
      </w:r>
      <w:r w:rsidRPr="00DC7C24">
        <w:rPr>
          <w:rFonts w:eastAsia="Times New Roman" w:cstheme="minorHAnsi"/>
          <w:sz w:val="28"/>
          <w:szCs w:val="24"/>
          <w:lang w:eastAsia="it-IT"/>
        </w:rPr>
        <w:lastRenderedPageBreak/>
        <w:t>Entro la fine del 1946, 20.000 persone avevano lasciato la città, abbandonando case, averi, terreni.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conferenza di pace di Parigi. Alla fine del 1946 la questione italo-jugoslava era divenuta per molti un peso che intralciava la soluzione di altre e ancora più importanti questioni: gli Alleati volevano trovare una soluzione per Vienna e Berlino; l'Unione Sovietica doveva sistemare la divisione della Germania. L'Italia era alle prese con la gestione della transizione tra monarchia e repubblica.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In sostanza bisognava determinare dove sarebbe passato il confine tra Italia e Jugoslavia. Gli Stati Uniti, favorevoli all’Italia, proposero una linea che lasciava al nostro Paese gran parte dell’Istria. I sovietici, favorevoli ai comunisti di Tito, proposero un confine che lasciava Trieste e parte di Gorizia alla Jugoslavia. La Francia propose una via di mezzo, molto vicina all’attuale confine, che sembrava anche l’opzione più realistica, non perché rispettava le divisioni linguistiche, ma perché seguiva il confine effettivamente occupato dagli eserciti nei mesi precedenti.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Il dramma delle terre italiane dell’Est si concluse con la firma del trattato di pace di Parigi il 10 febbraio 1947. Alla fine, alla conferenza di Parigi venne deciso che per il confine si sarebbe seguita la linea francese: l’Italia consegnò alla Jugoslavia numerose città e borghi a maggioranza italiana rinunciando per sempre a Zara, alla Dalmazia, alle isole del </w:t>
      </w:r>
      <w:proofErr w:type="spellStart"/>
      <w:r w:rsidRPr="00DC7C24">
        <w:rPr>
          <w:rFonts w:eastAsia="Times New Roman" w:cstheme="minorHAnsi"/>
          <w:sz w:val="28"/>
          <w:szCs w:val="24"/>
          <w:lang w:eastAsia="it-IT"/>
        </w:rPr>
        <w:t>Quarnaro</w:t>
      </w:r>
      <w:proofErr w:type="spellEnd"/>
      <w:r w:rsidRPr="00DC7C24">
        <w:rPr>
          <w:rFonts w:eastAsia="Times New Roman" w:cstheme="minorHAnsi"/>
          <w:sz w:val="28"/>
          <w:szCs w:val="24"/>
          <w:lang w:eastAsia="it-IT"/>
        </w:rPr>
        <w:t>, a Fiume, all’Istria e a parte della provincia di Gorizia.</w:t>
      </w:r>
    </w:p>
    <w:p w:rsidR="00DC7C24" w:rsidRPr="00DC7C24" w:rsidRDefault="00DC7C24" w:rsidP="00DC7C24">
      <w:pPr>
        <w:spacing w:after="0" w:line="240" w:lineRule="auto"/>
        <w:jc w:val="both"/>
        <w:rPr>
          <w:rFonts w:eastAsia="Times New Roman" w:cstheme="minorHAnsi"/>
          <w:color w:val="0000FF"/>
          <w:sz w:val="28"/>
          <w:szCs w:val="24"/>
          <w:u w:val="single"/>
          <w:lang w:eastAsia="it-IT"/>
        </w:rPr>
      </w:pPr>
      <w:r w:rsidRPr="00DC7C24">
        <w:rPr>
          <w:rFonts w:eastAsia="Times New Roman" w:cstheme="minorHAnsi"/>
          <w:sz w:val="28"/>
          <w:szCs w:val="24"/>
          <w:lang w:eastAsia="it-IT"/>
        </w:rPr>
        <w:fldChar w:fldCharType="begin"/>
      </w:r>
      <w:r w:rsidRPr="00DC7C24">
        <w:rPr>
          <w:rFonts w:eastAsia="Times New Roman" w:cstheme="minorHAnsi"/>
          <w:sz w:val="28"/>
          <w:szCs w:val="24"/>
          <w:lang w:eastAsia="it-IT"/>
        </w:rPr>
        <w:instrText xml:space="preserve"> HYPERLINK "https://www.focus.it/cultura/storia/che-cosa-furono-i-massacri-delle-foibe/?modal-open=50974&amp;slide-open=zoom" </w:instrText>
      </w:r>
      <w:r w:rsidRPr="00DC7C24">
        <w:rPr>
          <w:rFonts w:eastAsia="Times New Roman" w:cstheme="minorHAnsi"/>
          <w:sz w:val="28"/>
          <w:szCs w:val="24"/>
          <w:lang w:eastAsia="it-IT"/>
        </w:rPr>
        <w:fldChar w:fldCharType="separate"/>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noProof/>
          <w:color w:val="0000FF"/>
          <w:sz w:val="28"/>
          <w:szCs w:val="24"/>
          <w:lang w:eastAsia="it-IT"/>
        </w:rPr>
        <w:drawing>
          <wp:inline distT="0" distB="0" distL="0" distR="0">
            <wp:extent cx="5429250" cy="3400425"/>
            <wp:effectExtent l="0" t="0" r="0" b="9525"/>
            <wp:docPr id="1" name="Immagine 1" descr="https://www.focus.it/site_stored/imgs/0005/026/12705794_1033908393337777_2273314293151568306_n.57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focus.it/site_stored/imgs/0005/026/12705794_1033908393337777_2273314293151568306_n.570.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3400425"/>
                    </a:xfrm>
                    <a:prstGeom prst="rect">
                      <a:avLst/>
                    </a:prstGeom>
                    <a:noFill/>
                    <a:ln>
                      <a:noFill/>
                    </a:ln>
                  </pic:spPr>
                </pic:pic>
              </a:graphicData>
            </a:graphic>
          </wp:inline>
        </w:drawing>
      </w:r>
      <w:r w:rsidRPr="00DC7C24">
        <w:rPr>
          <w:rFonts w:eastAsia="Times New Roman" w:cstheme="minorHAnsi"/>
          <w:sz w:val="28"/>
          <w:szCs w:val="24"/>
          <w:lang w:eastAsia="it-IT"/>
        </w:rPr>
        <w:fldChar w:fldCharType="end"/>
      </w:r>
    </w:p>
    <w:p w:rsidR="00DC7C24" w:rsidRPr="00DC7C24" w:rsidRDefault="00DC7C24" w:rsidP="00DC7C24">
      <w:pPr>
        <w:spacing w:after="0"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Giovane esule italiana in fuga trasporta, insieme ai propri effetti personali, un tricolore </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L'esodo. Il trattato di pace di Parigi di fatto regalò alla Jugoslavia il diritto di confiscare tutti i beni dei cittadini italiani, con l'accordo che sarebbero poi stati indennizzati dal governo di Roma.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lastRenderedPageBreak/>
        <w:t>Questo causò due ingiustizie. Prima di tutto l'esodo forzato delle popolazioni italiane istriane e giuliane che fuggivano a decine di migliaia, abbandonando le loro case e ammassando sui carri trainati dai cavalli le poche masserizie che potevano portare con sé. E, in seguito, il mancato risarcimento.</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stragrande maggioranza degli esuli emigrò in varie parti del mondo cercando una nuova patria: chi in Sud America, chi in Australia, chi in Canada, chi negli Stati Uniti.</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Interesse politico in atti d'ufficio. Tanti riuscirono a sistemarsi faticosamente in Italia, nonostante gli ostacoli dei ministri del partito comunista che - favorevoli alla Jugoslavia - minimizzarono la portata della diaspora.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Emilio Sereni, che ricopriva la determinante carica di ministro per l’Assistenza post-bellica, e sul cui tavolo finivano tutti i rapporti con le domande di esodo e di assistenza provenienti da Pola, da Fiume, dall’Istria e dalla ex Dalmazia italiana, anziché farsene carico e rappresentare all’opinione pubblica la drammaticità della situazione minimizzò la portata del problema.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Rifiutò di ammettere nuovi esuli nei campi profughi di Trieste con la scusa che non c’era più posto e, in una serie di relazioni a De Gasperi, parlò di «fratellanza italo-slovena e italo-croata», sostenne la necessità di scoraggiare le partenze e di costringere gli istriani a rimanere nelle loro terre, affermò che le notizie sulle foibe erano «propaganda reazionaria».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Il giorno del ricordo. Come è stato possibile che una simile tragedia sia stata confinata nel regno dell’oblio per quasi sessant’anni? Tanti, infatti, ne erano passati tra quel quadriennio 1943-47 che vide realizzarsi l’orrore delle foibe, e l’auspicato 2004, quando il Parlamento approvò la «legge </w:t>
      </w:r>
      <w:proofErr w:type="spellStart"/>
      <w:r w:rsidRPr="00DC7C24">
        <w:rPr>
          <w:rFonts w:eastAsia="Times New Roman" w:cstheme="minorHAnsi"/>
          <w:sz w:val="28"/>
          <w:szCs w:val="24"/>
          <w:lang w:eastAsia="it-IT"/>
        </w:rPr>
        <w:t>Menia</w:t>
      </w:r>
      <w:proofErr w:type="spellEnd"/>
      <w:r w:rsidRPr="00DC7C24">
        <w:rPr>
          <w:rFonts w:eastAsia="Times New Roman" w:cstheme="minorHAnsi"/>
          <w:sz w:val="28"/>
          <w:szCs w:val="24"/>
          <w:lang w:eastAsia="it-IT"/>
        </w:rPr>
        <w:t xml:space="preserve">» (dal nome del deputato triestino Roberto </w:t>
      </w:r>
      <w:proofErr w:type="spellStart"/>
      <w:r w:rsidRPr="00DC7C24">
        <w:rPr>
          <w:rFonts w:eastAsia="Times New Roman" w:cstheme="minorHAnsi"/>
          <w:sz w:val="28"/>
          <w:szCs w:val="24"/>
          <w:lang w:eastAsia="it-IT"/>
        </w:rPr>
        <w:t>Menia</w:t>
      </w:r>
      <w:proofErr w:type="spellEnd"/>
      <w:r w:rsidRPr="00DC7C24">
        <w:rPr>
          <w:rFonts w:eastAsia="Times New Roman" w:cstheme="minorHAnsi"/>
          <w:sz w:val="28"/>
          <w:szCs w:val="24"/>
          <w:lang w:eastAsia="it-IT"/>
        </w:rPr>
        <w:t>, che l’aveva proposta) sulla istituzione del «Giorno del Ricordo».</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La risposta va ricercata in una sorta di tacita complicità, durata decenni, tra le forze politiche centriste e cattoliche da una parte, e quelle di estrema sinistra dall’altra. Fu soltanto dopo il 1989 (con il crollo del muro di Berlino e l'autoestinzione del comunismo sovietico) che nell’impenetrabile diga del silenzio incominciò ad aprirsi qualche crepa.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Il 3 novembre 1991, l’allora presidente della Repubblica Francesco Cossiga si recò in pellegrinaggio alla foiba di Basovizza e, in ginocchio, chiese perdono per un silenzio durato cinquant’anni. Poi arrivò la TV pubblica con la fiction </w:t>
      </w:r>
      <w:r w:rsidRPr="00DC7C24">
        <w:rPr>
          <w:rFonts w:eastAsia="Times New Roman" w:cstheme="minorHAnsi"/>
          <w:i/>
          <w:iCs/>
          <w:sz w:val="28"/>
          <w:szCs w:val="24"/>
          <w:lang w:eastAsia="it-IT"/>
        </w:rPr>
        <w:t>Il cuore nel pozzo</w:t>
      </w:r>
      <w:r w:rsidRPr="00DC7C24">
        <w:rPr>
          <w:rFonts w:eastAsia="Times New Roman" w:cstheme="minorHAnsi"/>
          <w:sz w:val="28"/>
          <w:szCs w:val="24"/>
          <w:lang w:eastAsia="it-IT"/>
        </w:rPr>
        <w:t xml:space="preserve"> interpretata fra gli altri da Beppe Fiorello. Un altro presidente della Repubblica, Oscar Luigi Scalfaro, si era recato, in reverente omaggio ai Caduti, davanti al sacrario di Basovizza l’11 febbraio 1993.</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r w:rsidRPr="00DC7C24">
        <w:rPr>
          <w:rFonts w:eastAsia="Times New Roman" w:cstheme="minorHAnsi"/>
          <w:sz w:val="28"/>
          <w:szCs w:val="24"/>
          <w:lang w:eastAsia="it-IT"/>
        </w:rPr>
        <w:t xml:space="preserve">Così, a poco a poco, la coltre di silenzio che, per troppo tempo, era calata sulla tragedia delle terre orientali italiane, divenne sempre più sottile e finalmente tutti </w:t>
      </w:r>
      <w:r w:rsidRPr="00DC7C24">
        <w:rPr>
          <w:rFonts w:eastAsia="Times New Roman" w:cstheme="minorHAnsi"/>
          <w:sz w:val="28"/>
          <w:szCs w:val="24"/>
          <w:lang w:eastAsia="it-IT"/>
        </w:rPr>
        <w:lastRenderedPageBreak/>
        <w:t xml:space="preserve">abbiamo potuto conoscere quante sofferenze dovettero </w:t>
      </w:r>
      <w:proofErr w:type="spellStart"/>
      <w:r w:rsidRPr="00DC7C24">
        <w:rPr>
          <w:rFonts w:eastAsia="Times New Roman" w:cstheme="minorHAnsi"/>
          <w:sz w:val="28"/>
          <w:szCs w:val="24"/>
          <w:lang w:eastAsia="it-IT"/>
        </w:rPr>
        <w:t>subìre</w:t>
      </w:r>
      <w:proofErr w:type="spellEnd"/>
      <w:r w:rsidRPr="00DC7C24">
        <w:rPr>
          <w:rFonts w:eastAsia="Times New Roman" w:cstheme="minorHAnsi"/>
          <w:sz w:val="28"/>
          <w:szCs w:val="24"/>
          <w:lang w:eastAsia="it-IT"/>
        </w:rPr>
        <w:t xml:space="preserve"> gli italiani della Venezia Giulia, dell’Istria, di Fiume e della Dalmazia.</w:t>
      </w:r>
    </w:p>
    <w:p w:rsidR="00DC7C24" w:rsidRPr="00DC7C24" w:rsidRDefault="00DC7C24" w:rsidP="00DC7C24">
      <w:pPr>
        <w:spacing w:before="100" w:beforeAutospacing="1" w:after="100" w:afterAutospacing="1" w:line="240" w:lineRule="auto"/>
        <w:jc w:val="both"/>
        <w:rPr>
          <w:rFonts w:eastAsia="Times New Roman" w:cstheme="minorHAnsi"/>
          <w:sz w:val="28"/>
          <w:szCs w:val="24"/>
          <w:lang w:eastAsia="it-IT"/>
        </w:rPr>
      </w:pPr>
    </w:p>
    <w:p w:rsidR="004F7E15" w:rsidRPr="00DC7C24" w:rsidRDefault="004F7E15" w:rsidP="00DC7C24">
      <w:pPr>
        <w:jc w:val="both"/>
        <w:rPr>
          <w:rFonts w:cstheme="minorHAnsi"/>
          <w:sz w:val="24"/>
        </w:rPr>
      </w:pPr>
    </w:p>
    <w:sectPr w:rsidR="004F7E15" w:rsidRPr="00DC7C24" w:rsidSect="001F4B38">
      <w:pgSz w:w="11906" w:h="16838"/>
      <w:pgMar w:top="709"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24"/>
    <w:rsid w:val="001F4B38"/>
    <w:rsid w:val="004F7E15"/>
    <w:rsid w:val="00DC7C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6135"/>
  <w15:chartTrackingRefBased/>
  <w15:docId w15:val="{FB05FDA2-04EB-462A-8A36-CB387CBB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link w:val="Titolo2Carattere"/>
    <w:uiPriority w:val="9"/>
    <w:qFormat/>
    <w:rsid w:val="00DC7C24"/>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DC7C24"/>
    <w:rPr>
      <w:rFonts w:ascii="Times New Roman" w:eastAsia="Times New Roman" w:hAnsi="Times New Roman" w:cs="Times New Roman"/>
      <w:b/>
      <w:bCs/>
      <w:sz w:val="36"/>
      <w:szCs w:val="36"/>
      <w:lang w:eastAsia="it-IT"/>
    </w:rPr>
  </w:style>
  <w:style w:type="paragraph" w:styleId="NormaleWeb">
    <w:name w:val="Normal (Web)"/>
    <w:basedOn w:val="Normale"/>
    <w:uiPriority w:val="99"/>
    <w:semiHidden/>
    <w:unhideWhenUsed/>
    <w:rsid w:val="00DC7C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texttitle">
    <w:name w:val="atexttitle"/>
    <w:basedOn w:val="Carpredefinitoparagrafo"/>
    <w:rsid w:val="00DC7C24"/>
  </w:style>
  <w:style w:type="character" w:styleId="Collegamentoipertestuale">
    <w:name w:val="Hyperlink"/>
    <w:basedOn w:val="Carpredefinitoparagrafo"/>
    <w:uiPriority w:val="99"/>
    <w:semiHidden/>
    <w:unhideWhenUsed/>
    <w:rsid w:val="00DC7C24"/>
    <w:rPr>
      <w:color w:val="0000FF"/>
      <w:u w:val="single"/>
    </w:rPr>
  </w:style>
  <w:style w:type="character" w:styleId="Enfasicorsivo">
    <w:name w:val="Emphasis"/>
    <w:basedOn w:val="Carpredefinitoparagrafo"/>
    <w:uiPriority w:val="20"/>
    <w:qFormat/>
    <w:rsid w:val="00DC7C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852986">
      <w:bodyDiv w:val="1"/>
      <w:marLeft w:val="0"/>
      <w:marRight w:val="0"/>
      <w:marTop w:val="0"/>
      <w:marBottom w:val="0"/>
      <w:divBdr>
        <w:top w:val="none" w:sz="0" w:space="0" w:color="auto"/>
        <w:left w:val="none" w:sz="0" w:space="0" w:color="auto"/>
        <w:bottom w:val="none" w:sz="0" w:space="0" w:color="auto"/>
        <w:right w:val="none" w:sz="0" w:space="0" w:color="auto"/>
      </w:divBdr>
      <w:divsChild>
        <w:div w:id="1665667345">
          <w:marLeft w:val="0"/>
          <w:marRight w:val="0"/>
          <w:marTop w:val="0"/>
          <w:marBottom w:val="0"/>
          <w:divBdr>
            <w:top w:val="none" w:sz="0" w:space="0" w:color="auto"/>
            <w:left w:val="none" w:sz="0" w:space="0" w:color="auto"/>
            <w:bottom w:val="none" w:sz="0" w:space="0" w:color="auto"/>
            <w:right w:val="none" w:sz="0" w:space="0" w:color="auto"/>
          </w:divBdr>
        </w:div>
        <w:div w:id="1389452705">
          <w:marLeft w:val="0"/>
          <w:marRight w:val="0"/>
          <w:marTop w:val="0"/>
          <w:marBottom w:val="0"/>
          <w:divBdr>
            <w:top w:val="none" w:sz="0" w:space="0" w:color="auto"/>
            <w:left w:val="none" w:sz="0" w:space="0" w:color="auto"/>
            <w:bottom w:val="none" w:sz="0" w:space="0" w:color="auto"/>
            <w:right w:val="none" w:sz="0" w:space="0" w:color="auto"/>
          </w:divBdr>
        </w:div>
        <w:div w:id="129641426">
          <w:marLeft w:val="0"/>
          <w:marRight w:val="0"/>
          <w:marTop w:val="0"/>
          <w:marBottom w:val="0"/>
          <w:divBdr>
            <w:top w:val="none" w:sz="0" w:space="0" w:color="auto"/>
            <w:left w:val="none" w:sz="0" w:space="0" w:color="auto"/>
            <w:bottom w:val="none" w:sz="0" w:space="0" w:color="auto"/>
            <w:right w:val="none" w:sz="0" w:space="0" w:color="auto"/>
          </w:divBdr>
        </w:div>
      </w:divsChild>
    </w:div>
    <w:div w:id="1253783566">
      <w:bodyDiv w:val="1"/>
      <w:marLeft w:val="0"/>
      <w:marRight w:val="0"/>
      <w:marTop w:val="0"/>
      <w:marBottom w:val="0"/>
      <w:divBdr>
        <w:top w:val="none" w:sz="0" w:space="0" w:color="auto"/>
        <w:left w:val="none" w:sz="0" w:space="0" w:color="auto"/>
        <w:bottom w:val="none" w:sz="0" w:space="0" w:color="auto"/>
        <w:right w:val="none" w:sz="0" w:space="0" w:color="auto"/>
      </w:divBdr>
      <w:divsChild>
        <w:div w:id="1590887847">
          <w:marLeft w:val="0"/>
          <w:marRight w:val="0"/>
          <w:marTop w:val="0"/>
          <w:marBottom w:val="0"/>
          <w:divBdr>
            <w:top w:val="none" w:sz="0" w:space="0" w:color="auto"/>
            <w:left w:val="none" w:sz="0" w:space="0" w:color="auto"/>
            <w:bottom w:val="none" w:sz="0" w:space="0" w:color="auto"/>
            <w:right w:val="none" w:sz="0" w:space="0" w:color="auto"/>
          </w:divBdr>
        </w:div>
        <w:div w:id="1401711988">
          <w:marLeft w:val="0"/>
          <w:marRight w:val="0"/>
          <w:marTop w:val="0"/>
          <w:marBottom w:val="0"/>
          <w:divBdr>
            <w:top w:val="none" w:sz="0" w:space="0" w:color="auto"/>
            <w:left w:val="none" w:sz="0" w:space="0" w:color="auto"/>
            <w:bottom w:val="none" w:sz="0" w:space="0" w:color="auto"/>
            <w:right w:val="none" w:sz="0" w:space="0" w:color="auto"/>
          </w:divBdr>
        </w:div>
        <w:div w:id="2000838934">
          <w:marLeft w:val="0"/>
          <w:marRight w:val="0"/>
          <w:marTop w:val="0"/>
          <w:marBottom w:val="0"/>
          <w:divBdr>
            <w:top w:val="none" w:sz="0" w:space="0" w:color="auto"/>
            <w:left w:val="none" w:sz="0" w:space="0" w:color="auto"/>
            <w:bottom w:val="none" w:sz="0" w:space="0" w:color="auto"/>
            <w:right w:val="none" w:sz="0" w:space="0" w:color="auto"/>
          </w:divBdr>
          <w:divsChild>
            <w:div w:id="48038702">
              <w:marLeft w:val="0"/>
              <w:marRight w:val="0"/>
              <w:marTop w:val="0"/>
              <w:marBottom w:val="0"/>
              <w:divBdr>
                <w:top w:val="none" w:sz="0" w:space="0" w:color="auto"/>
                <w:left w:val="none" w:sz="0" w:space="0" w:color="auto"/>
                <w:bottom w:val="none" w:sz="0" w:space="0" w:color="auto"/>
                <w:right w:val="none" w:sz="0" w:space="0" w:color="auto"/>
              </w:divBdr>
            </w:div>
          </w:divsChild>
        </w:div>
        <w:div w:id="506673043">
          <w:marLeft w:val="0"/>
          <w:marRight w:val="0"/>
          <w:marTop w:val="0"/>
          <w:marBottom w:val="0"/>
          <w:divBdr>
            <w:top w:val="none" w:sz="0" w:space="0" w:color="auto"/>
            <w:left w:val="none" w:sz="0" w:space="0" w:color="auto"/>
            <w:bottom w:val="none" w:sz="0" w:space="0" w:color="auto"/>
            <w:right w:val="none" w:sz="0" w:space="0" w:color="auto"/>
          </w:divBdr>
        </w:div>
        <w:div w:id="585650089">
          <w:marLeft w:val="0"/>
          <w:marRight w:val="0"/>
          <w:marTop w:val="0"/>
          <w:marBottom w:val="0"/>
          <w:divBdr>
            <w:top w:val="none" w:sz="0" w:space="0" w:color="auto"/>
            <w:left w:val="none" w:sz="0" w:space="0" w:color="auto"/>
            <w:bottom w:val="none" w:sz="0" w:space="0" w:color="auto"/>
            <w:right w:val="none" w:sz="0" w:space="0" w:color="auto"/>
          </w:divBdr>
        </w:div>
        <w:div w:id="637540546">
          <w:marLeft w:val="0"/>
          <w:marRight w:val="0"/>
          <w:marTop w:val="0"/>
          <w:marBottom w:val="0"/>
          <w:divBdr>
            <w:top w:val="none" w:sz="0" w:space="0" w:color="auto"/>
            <w:left w:val="none" w:sz="0" w:space="0" w:color="auto"/>
            <w:bottom w:val="none" w:sz="0" w:space="0" w:color="auto"/>
            <w:right w:val="none" w:sz="0" w:space="0" w:color="auto"/>
          </w:divBdr>
        </w:div>
        <w:div w:id="1146431691">
          <w:marLeft w:val="0"/>
          <w:marRight w:val="0"/>
          <w:marTop w:val="0"/>
          <w:marBottom w:val="0"/>
          <w:divBdr>
            <w:top w:val="none" w:sz="0" w:space="0" w:color="auto"/>
            <w:left w:val="none" w:sz="0" w:space="0" w:color="auto"/>
            <w:bottom w:val="none" w:sz="0" w:space="0" w:color="auto"/>
            <w:right w:val="none" w:sz="0" w:space="0" w:color="auto"/>
          </w:divBdr>
          <w:divsChild>
            <w:div w:id="1627660258">
              <w:marLeft w:val="0"/>
              <w:marRight w:val="0"/>
              <w:marTop w:val="0"/>
              <w:marBottom w:val="0"/>
              <w:divBdr>
                <w:top w:val="none" w:sz="0" w:space="0" w:color="auto"/>
                <w:left w:val="none" w:sz="0" w:space="0" w:color="auto"/>
                <w:bottom w:val="none" w:sz="0" w:space="0" w:color="auto"/>
                <w:right w:val="none" w:sz="0" w:space="0" w:color="auto"/>
              </w:divBdr>
            </w:div>
          </w:divsChild>
        </w:div>
        <w:div w:id="219363554">
          <w:marLeft w:val="0"/>
          <w:marRight w:val="0"/>
          <w:marTop w:val="0"/>
          <w:marBottom w:val="0"/>
          <w:divBdr>
            <w:top w:val="none" w:sz="0" w:space="0" w:color="auto"/>
            <w:left w:val="none" w:sz="0" w:space="0" w:color="auto"/>
            <w:bottom w:val="none" w:sz="0" w:space="0" w:color="auto"/>
            <w:right w:val="none" w:sz="0" w:space="0" w:color="auto"/>
          </w:divBdr>
        </w:div>
        <w:div w:id="1274634354">
          <w:marLeft w:val="0"/>
          <w:marRight w:val="0"/>
          <w:marTop w:val="0"/>
          <w:marBottom w:val="0"/>
          <w:divBdr>
            <w:top w:val="none" w:sz="0" w:space="0" w:color="auto"/>
            <w:left w:val="none" w:sz="0" w:space="0" w:color="auto"/>
            <w:bottom w:val="none" w:sz="0" w:space="0" w:color="auto"/>
            <w:right w:val="none" w:sz="0" w:space="0" w:color="auto"/>
          </w:divBdr>
        </w:div>
        <w:div w:id="424814275">
          <w:marLeft w:val="0"/>
          <w:marRight w:val="0"/>
          <w:marTop w:val="0"/>
          <w:marBottom w:val="0"/>
          <w:divBdr>
            <w:top w:val="none" w:sz="0" w:space="0" w:color="auto"/>
            <w:left w:val="none" w:sz="0" w:space="0" w:color="auto"/>
            <w:bottom w:val="none" w:sz="0" w:space="0" w:color="auto"/>
            <w:right w:val="none" w:sz="0" w:space="0" w:color="auto"/>
          </w:divBdr>
        </w:div>
        <w:div w:id="494809236">
          <w:marLeft w:val="0"/>
          <w:marRight w:val="0"/>
          <w:marTop w:val="0"/>
          <w:marBottom w:val="0"/>
          <w:divBdr>
            <w:top w:val="none" w:sz="0" w:space="0" w:color="auto"/>
            <w:left w:val="none" w:sz="0" w:space="0" w:color="auto"/>
            <w:bottom w:val="none" w:sz="0" w:space="0" w:color="auto"/>
            <w:right w:val="none" w:sz="0" w:space="0" w:color="auto"/>
          </w:divBdr>
        </w:div>
        <w:div w:id="975791722">
          <w:marLeft w:val="0"/>
          <w:marRight w:val="0"/>
          <w:marTop w:val="0"/>
          <w:marBottom w:val="0"/>
          <w:divBdr>
            <w:top w:val="none" w:sz="0" w:space="0" w:color="auto"/>
            <w:left w:val="none" w:sz="0" w:space="0" w:color="auto"/>
            <w:bottom w:val="none" w:sz="0" w:space="0" w:color="auto"/>
            <w:right w:val="none" w:sz="0" w:space="0" w:color="auto"/>
          </w:divBdr>
        </w:div>
        <w:div w:id="563612573">
          <w:marLeft w:val="0"/>
          <w:marRight w:val="0"/>
          <w:marTop w:val="0"/>
          <w:marBottom w:val="0"/>
          <w:divBdr>
            <w:top w:val="none" w:sz="0" w:space="0" w:color="auto"/>
            <w:left w:val="none" w:sz="0" w:space="0" w:color="auto"/>
            <w:bottom w:val="none" w:sz="0" w:space="0" w:color="auto"/>
            <w:right w:val="none" w:sz="0" w:space="0" w:color="auto"/>
          </w:divBdr>
        </w:div>
        <w:div w:id="396590776">
          <w:marLeft w:val="0"/>
          <w:marRight w:val="0"/>
          <w:marTop w:val="0"/>
          <w:marBottom w:val="0"/>
          <w:divBdr>
            <w:top w:val="none" w:sz="0" w:space="0" w:color="auto"/>
            <w:left w:val="none" w:sz="0" w:space="0" w:color="auto"/>
            <w:bottom w:val="none" w:sz="0" w:space="0" w:color="auto"/>
            <w:right w:val="none" w:sz="0" w:space="0" w:color="auto"/>
          </w:divBdr>
          <w:divsChild>
            <w:div w:id="691565356">
              <w:marLeft w:val="0"/>
              <w:marRight w:val="0"/>
              <w:marTop w:val="0"/>
              <w:marBottom w:val="0"/>
              <w:divBdr>
                <w:top w:val="none" w:sz="0" w:space="0" w:color="auto"/>
                <w:left w:val="none" w:sz="0" w:space="0" w:color="auto"/>
                <w:bottom w:val="none" w:sz="0" w:space="0" w:color="auto"/>
                <w:right w:val="none" w:sz="0" w:space="0" w:color="auto"/>
              </w:divBdr>
            </w:div>
          </w:divsChild>
        </w:div>
        <w:div w:id="302390519">
          <w:marLeft w:val="0"/>
          <w:marRight w:val="0"/>
          <w:marTop w:val="0"/>
          <w:marBottom w:val="0"/>
          <w:divBdr>
            <w:top w:val="none" w:sz="0" w:space="0" w:color="auto"/>
            <w:left w:val="none" w:sz="0" w:space="0" w:color="auto"/>
            <w:bottom w:val="none" w:sz="0" w:space="0" w:color="auto"/>
            <w:right w:val="none" w:sz="0" w:space="0" w:color="auto"/>
          </w:divBdr>
        </w:div>
        <w:div w:id="829056708">
          <w:marLeft w:val="0"/>
          <w:marRight w:val="0"/>
          <w:marTop w:val="0"/>
          <w:marBottom w:val="0"/>
          <w:divBdr>
            <w:top w:val="none" w:sz="0" w:space="0" w:color="auto"/>
            <w:left w:val="none" w:sz="0" w:space="0" w:color="auto"/>
            <w:bottom w:val="none" w:sz="0" w:space="0" w:color="auto"/>
            <w:right w:val="none" w:sz="0" w:space="0" w:color="auto"/>
          </w:divBdr>
        </w:div>
        <w:div w:id="513230383">
          <w:marLeft w:val="0"/>
          <w:marRight w:val="0"/>
          <w:marTop w:val="0"/>
          <w:marBottom w:val="0"/>
          <w:divBdr>
            <w:top w:val="none" w:sz="0" w:space="0" w:color="auto"/>
            <w:left w:val="none" w:sz="0" w:space="0" w:color="auto"/>
            <w:bottom w:val="none" w:sz="0" w:space="0" w:color="auto"/>
            <w:right w:val="none" w:sz="0" w:space="0" w:color="auto"/>
          </w:divBdr>
        </w:div>
        <w:div w:id="411316710">
          <w:marLeft w:val="0"/>
          <w:marRight w:val="0"/>
          <w:marTop w:val="0"/>
          <w:marBottom w:val="0"/>
          <w:divBdr>
            <w:top w:val="none" w:sz="0" w:space="0" w:color="auto"/>
            <w:left w:val="none" w:sz="0" w:space="0" w:color="auto"/>
            <w:bottom w:val="none" w:sz="0" w:space="0" w:color="auto"/>
            <w:right w:val="none" w:sz="0" w:space="0" w:color="auto"/>
          </w:divBdr>
        </w:div>
        <w:div w:id="1403871830">
          <w:marLeft w:val="0"/>
          <w:marRight w:val="0"/>
          <w:marTop w:val="0"/>
          <w:marBottom w:val="0"/>
          <w:divBdr>
            <w:top w:val="none" w:sz="0" w:space="0" w:color="auto"/>
            <w:left w:val="none" w:sz="0" w:space="0" w:color="auto"/>
            <w:bottom w:val="none" w:sz="0" w:space="0" w:color="auto"/>
            <w:right w:val="none" w:sz="0" w:space="0" w:color="auto"/>
          </w:divBdr>
        </w:div>
        <w:div w:id="878515699">
          <w:marLeft w:val="0"/>
          <w:marRight w:val="0"/>
          <w:marTop w:val="0"/>
          <w:marBottom w:val="0"/>
          <w:divBdr>
            <w:top w:val="none" w:sz="0" w:space="0" w:color="auto"/>
            <w:left w:val="none" w:sz="0" w:space="0" w:color="auto"/>
            <w:bottom w:val="none" w:sz="0" w:space="0" w:color="auto"/>
            <w:right w:val="none" w:sz="0" w:space="0" w:color="auto"/>
          </w:divBdr>
          <w:divsChild>
            <w:div w:id="1133015092">
              <w:marLeft w:val="0"/>
              <w:marRight w:val="0"/>
              <w:marTop w:val="0"/>
              <w:marBottom w:val="0"/>
              <w:divBdr>
                <w:top w:val="none" w:sz="0" w:space="0" w:color="auto"/>
                <w:left w:val="none" w:sz="0" w:space="0" w:color="auto"/>
                <w:bottom w:val="none" w:sz="0" w:space="0" w:color="auto"/>
                <w:right w:val="none" w:sz="0" w:space="0" w:color="auto"/>
              </w:divBdr>
            </w:div>
          </w:divsChild>
        </w:div>
        <w:div w:id="193809314">
          <w:marLeft w:val="0"/>
          <w:marRight w:val="0"/>
          <w:marTop w:val="0"/>
          <w:marBottom w:val="0"/>
          <w:divBdr>
            <w:top w:val="none" w:sz="0" w:space="0" w:color="auto"/>
            <w:left w:val="none" w:sz="0" w:space="0" w:color="auto"/>
            <w:bottom w:val="none" w:sz="0" w:space="0" w:color="auto"/>
            <w:right w:val="none" w:sz="0" w:space="0" w:color="auto"/>
          </w:divBdr>
        </w:div>
        <w:div w:id="680545396">
          <w:marLeft w:val="0"/>
          <w:marRight w:val="0"/>
          <w:marTop w:val="0"/>
          <w:marBottom w:val="0"/>
          <w:divBdr>
            <w:top w:val="none" w:sz="0" w:space="0" w:color="auto"/>
            <w:left w:val="none" w:sz="0" w:space="0" w:color="auto"/>
            <w:bottom w:val="none" w:sz="0" w:space="0" w:color="auto"/>
            <w:right w:val="none" w:sz="0" w:space="0" w:color="auto"/>
          </w:divBdr>
        </w:div>
        <w:div w:id="655690719">
          <w:marLeft w:val="0"/>
          <w:marRight w:val="0"/>
          <w:marTop w:val="0"/>
          <w:marBottom w:val="0"/>
          <w:divBdr>
            <w:top w:val="none" w:sz="0" w:space="0" w:color="auto"/>
            <w:left w:val="none" w:sz="0" w:space="0" w:color="auto"/>
            <w:bottom w:val="none" w:sz="0" w:space="0" w:color="auto"/>
            <w:right w:val="none" w:sz="0" w:space="0" w:color="auto"/>
          </w:divBdr>
        </w:div>
        <w:div w:id="1001205038">
          <w:marLeft w:val="0"/>
          <w:marRight w:val="0"/>
          <w:marTop w:val="0"/>
          <w:marBottom w:val="0"/>
          <w:divBdr>
            <w:top w:val="none" w:sz="0" w:space="0" w:color="auto"/>
            <w:left w:val="none" w:sz="0" w:space="0" w:color="auto"/>
            <w:bottom w:val="none" w:sz="0" w:space="0" w:color="auto"/>
            <w:right w:val="none" w:sz="0" w:space="0" w:color="auto"/>
          </w:divBdr>
          <w:divsChild>
            <w:div w:id="615252740">
              <w:marLeft w:val="0"/>
              <w:marRight w:val="0"/>
              <w:marTop w:val="0"/>
              <w:marBottom w:val="0"/>
              <w:divBdr>
                <w:top w:val="none" w:sz="0" w:space="0" w:color="auto"/>
                <w:left w:val="none" w:sz="0" w:space="0" w:color="auto"/>
                <w:bottom w:val="none" w:sz="0" w:space="0" w:color="auto"/>
                <w:right w:val="none" w:sz="0" w:space="0" w:color="auto"/>
              </w:divBdr>
            </w:div>
          </w:divsChild>
        </w:div>
        <w:div w:id="1507598452">
          <w:marLeft w:val="0"/>
          <w:marRight w:val="0"/>
          <w:marTop w:val="0"/>
          <w:marBottom w:val="0"/>
          <w:divBdr>
            <w:top w:val="none" w:sz="0" w:space="0" w:color="auto"/>
            <w:left w:val="none" w:sz="0" w:space="0" w:color="auto"/>
            <w:bottom w:val="none" w:sz="0" w:space="0" w:color="auto"/>
            <w:right w:val="none" w:sz="0" w:space="0" w:color="auto"/>
          </w:divBdr>
        </w:div>
        <w:div w:id="211189188">
          <w:marLeft w:val="0"/>
          <w:marRight w:val="0"/>
          <w:marTop w:val="0"/>
          <w:marBottom w:val="0"/>
          <w:divBdr>
            <w:top w:val="none" w:sz="0" w:space="0" w:color="auto"/>
            <w:left w:val="none" w:sz="0" w:space="0" w:color="auto"/>
            <w:bottom w:val="none" w:sz="0" w:space="0" w:color="auto"/>
            <w:right w:val="none" w:sz="0" w:space="0" w:color="auto"/>
          </w:divBdr>
        </w:div>
        <w:div w:id="1999183744">
          <w:marLeft w:val="0"/>
          <w:marRight w:val="0"/>
          <w:marTop w:val="0"/>
          <w:marBottom w:val="0"/>
          <w:divBdr>
            <w:top w:val="none" w:sz="0" w:space="0" w:color="auto"/>
            <w:left w:val="none" w:sz="0" w:space="0" w:color="auto"/>
            <w:bottom w:val="none" w:sz="0" w:space="0" w:color="auto"/>
            <w:right w:val="none" w:sz="0" w:space="0" w:color="auto"/>
          </w:divBdr>
        </w:div>
        <w:div w:id="1905217058">
          <w:marLeft w:val="0"/>
          <w:marRight w:val="0"/>
          <w:marTop w:val="0"/>
          <w:marBottom w:val="0"/>
          <w:divBdr>
            <w:top w:val="none" w:sz="0" w:space="0" w:color="auto"/>
            <w:left w:val="none" w:sz="0" w:space="0" w:color="auto"/>
            <w:bottom w:val="none" w:sz="0" w:space="0" w:color="auto"/>
            <w:right w:val="none" w:sz="0" w:space="0" w:color="auto"/>
          </w:divBdr>
        </w:div>
        <w:div w:id="146099059">
          <w:marLeft w:val="0"/>
          <w:marRight w:val="0"/>
          <w:marTop w:val="0"/>
          <w:marBottom w:val="0"/>
          <w:divBdr>
            <w:top w:val="none" w:sz="0" w:space="0" w:color="auto"/>
            <w:left w:val="none" w:sz="0" w:space="0" w:color="auto"/>
            <w:bottom w:val="none" w:sz="0" w:space="0" w:color="auto"/>
            <w:right w:val="none" w:sz="0" w:space="0" w:color="auto"/>
          </w:divBdr>
          <w:divsChild>
            <w:div w:id="164706151">
              <w:marLeft w:val="0"/>
              <w:marRight w:val="0"/>
              <w:marTop w:val="0"/>
              <w:marBottom w:val="0"/>
              <w:divBdr>
                <w:top w:val="none" w:sz="0" w:space="0" w:color="auto"/>
                <w:left w:val="none" w:sz="0" w:space="0" w:color="auto"/>
                <w:bottom w:val="none" w:sz="0" w:space="0" w:color="auto"/>
                <w:right w:val="none" w:sz="0" w:space="0" w:color="auto"/>
              </w:divBdr>
            </w:div>
          </w:divsChild>
        </w:div>
        <w:div w:id="726026103">
          <w:marLeft w:val="0"/>
          <w:marRight w:val="0"/>
          <w:marTop w:val="0"/>
          <w:marBottom w:val="0"/>
          <w:divBdr>
            <w:top w:val="none" w:sz="0" w:space="0" w:color="auto"/>
            <w:left w:val="none" w:sz="0" w:space="0" w:color="auto"/>
            <w:bottom w:val="none" w:sz="0" w:space="0" w:color="auto"/>
            <w:right w:val="none" w:sz="0" w:space="0" w:color="auto"/>
          </w:divBdr>
        </w:div>
        <w:div w:id="1351300253">
          <w:marLeft w:val="0"/>
          <w:marRight w:val="0"/>
          <w:marTop w:val="0"/>
          <w:marBottom w:val="0"/>
          <w:divBdr>
            <w:top w:val="none" w:sz="0" w:space="0" w:color="auto"/>
            <w:left w:val="none" w:sz="0" w:space="0" w:color="auto"/>
            <w:bottom w:val="none" w:sz="0" w:space="0" w:color="auto"/>
            <w:right w:val="none" w:sz="0" w:space="0" w:color="auto"/>
          </w:divBdr>
        </w:div>
        <w:div w:id="2093699455">
          <w:marLeft w:val="0"/>
          <w:marRight w:val="0"/>
          <w:marTop w:val="0"/>
          <w:marBottom w:val="0"/>
          <w:divBdr>
            <w:top w:val="none" w:sz="0" w:space="0" w:color="auto"/>
            <w:left w:val="none" w:sz="0" w:space="0" w:color="auto"/>
            <w:bottom w:val="none" w:sz="0" w:space="0" w:color="auto"/>
            <w:right w:val="none" w:sz="0" w:space="0" w:color="auto"/>
          </w:divBdr>
        </w:div>
        <w:div w:id="149181408">
          <w:marLeft w:val="0"/>
          <w:marRight w:val="0"/>
          <w:marTop w:val="0"/>
          <w:marBottom w:val="0"/>
          <w:divBdr>
            <w:top w:val="none" w:sz="0" w:space="0" w:color="auto"/>
            <w:left w:val="none" w:sz="0" w:space="0" w:color="auto"/>
            <w:bottom w:val="none" w:sz="0" w:space="0" w:color="auto"/>
            <w:right w:val="none" w:sz="0" w:space="0" w:color="auto"/>
          </w:divBdr>
        </w:div>
        <w:div w:id="1761676590">
          <w:marLeft w:val="0"/>
          <w:marRight w:val="0"/>
          <w:marTop w:val="0"/>
          <w:marBottom w:val="0"/>
          <w:divBdr>
            <w:top w:val="none" w:sz="0" w:space="0" w:color="auto"/>
            <w:left w:val="none" w:sz="0" w:space="0" w:color="auto"/>
            <w:bottom w:val="none" w:sz="0" w:space="0" w:color="auto"/>
            <w:right w:val="none" w:sz="0" w:space="0" w:color="auto"/>
          </w:divBdr>
        </w:div>
        <w:div w:id="772482251">
          <w:marLeft w:val="0"/>
          <w:marRight w:val="0"/>
          <w:marTop w:val="0"/>
          <w:marBottom w:val="0"/>
          <w:divBdr>
            <w:top w:val="none" w:sz="0" w:space="0" w:color="auto"/>
            <w:left w:val="none" w:sz="0" w:space="0" w:color="auto"/>
            <w:bottom w:val="none" w:sz="0" w:space="0" w:color="auto"/>
            <w:right w:val="none" w:sz="0" w:space="0" w:color="auto"/>
          </w:divBdr>
        </w:div>
        <w:div w:id="247425364">
          <w:marLeft w:val="0"/>
          <w:marRight w:val="0"/>
          <w:marTop w:val="0"/>
          <w:marBottom w:val="0"/>
          <w:divBdr>
            <w:top w:val="none" w:sz="0" w:space="0" w:color="auto"/>
            <w:left w:val="none" w:sz="0" w:space="0" w:color="auto"/>
            <w:bottom w:val="none" w:sz="0" w:space="0" w:color="auto"/>
            <w:right w:val="none" w:sz="0" w:space="0" w:color="auto"/>
          </w:divBdr>
        </w:div>
        <w:div w:id="1412774055">
          <w:marLeft w:val="0"/>
          <w:marRight w:val="0"/>
          <w:marTop w:val="0"/>
          <w:marBottom w:val="0"/>
          <w:divBdr>
            <w:top w:val="none" w:sz="0" w:space="0" w:color="auto"/>
            <w:left w:val="none" w:sz="0" w:space="0" w:color="auto"/>
            <w:bottom w:val="none" w:sz="0" w:space="0" w:color="auto"/>
            <w:right w:val="none" w:sz="0" w:space="0" w:color="auto"/>
          </w:divBdr>
        </w:div>
        <w:div w:id="1912541126">
          <w:marLeft w:val="0"/>
          <w:marRight w:val="0"/>
          <w:marTop w:val="0"/>
          <w:marBottom w:val="0"/>
          <w:divBdr>
            <w:top w:val="none" w:sz="0" w:space="0" w:color="auto"/>
            <w:left w:val="none" w:sz="0" w:space="0" w:color="auto"/>
            <w:bottom w:val="none" w:sz="0" w:space="0" w:color="auto"/>
            <w:right w:val="none" w:sz="0" w:space="0" w:color="auto"/>
          </w:divBdr>
        </w:div>
        <w:div w:id="938754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cus.it/cultura/storia/che-cosa-furono-i-massacri-delle-foibe/?modal-open=50959&amp;slide-open=zoom" TargetMode="External"/><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focus.it/cultura/storia/che-cosa-furono-i-massacri-delle-foibe/?modal-open=50969&amp;slide-open=zo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focus.it/cultura/storia/che-cosa-furono-i-massacri-delle-foibe/?modal-open=50952&amp;slide-open=zoom" TargetMode="External"/><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image" Target="media/image6.jpeg"/><Relationship Id="rId10" Type="http://schemas.openxmlformats.org/officeDocument/2006/relationships/hyperlink" Target="https://www.focus.it/cultura/storia/che-cosa-furono-i-massacri-delle-foibe/?modal-open=50965&amp;slide-open=zoom" TargetMode="External"/><Relationship Id="rId4" Type="http://schemas.openxmlformats.org/officeDocument/2006/relationships/hyperlink" Target="https://www.focus.it/cultura/storia/che-cosa-furono-i-massacri-delle-foibe/?modal-open=50948&amp;slide-open=zoom" TargetMode="External"/><Relationship Id="rId9" Type="http://schemas.openxmlformats.org/officeDocument/2006/relationships/image" Target="media/image3.jpeg"/><Relationship Id="rId14" Type="http://schemas.openxmlformats.org/officeDocument/2006/relationships/hyperlink" Target="https://www.focus.it/cultura/storia/che-cosa-furono-i-massacri-delle-foibe/?modal-open=50974&amp;slide-open=zo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2020</Words>
  <Characters>11515</Characters>
  <Application>Microsoft Office Word</Application>
  <DocSecurity>0</DocSecurity>
  <Lines>95</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2021-01-16T17:47:00Z</dcterms:created>
  <dcterms:modified xsi:type="dcterms:W3CDTF">2021-01-16T18:00:00Z</dcterms:modified>
</cp:coreProperties>
</file>