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45A" w:rsidRDefault="00E5645A" w:rsidP="00E5645A">
      <w:pPr>
        <w:spacing w:line="540" w:lineRule="atLeast"/>
        <w:jc w:val="center"/>
        <w:rPr>
          <w:rFonts w:ascii="Times New Roman" w:hAnsi="Times New Roman" w:cs="Times New Roman"/>
          <w:b/>
          <w:sz w:val="40"/>
          <w:szCs w:val="40"/>
        </w:rPr>
      </w:pPr>
      <w:bookmarkStart w:id="0" w:name="_GoBack"/>
      <w:bookmarkEnd w:id="0"/>
    </w:p>
    <w:p w:rsidR="00152767" w:rsidRDefault="00152767" w:rsidP="00152767">
      <w:pPr>
        <w:jc w:val="center"/>
        <w:rPr>
          <w:noProof/>
          <w:lang w:eastAsia="it-IT"/>
        </w:rPr>
      </w:pPr>
      <w:r>
        <w:rPr>
          <w:noProof/>
          <w:lang w:eastAsia="it-IT"/>
        </w:rPr>
        <w:drawing>
          <wp:inline distT="0" distB="0" distL="0" distR="0">
            <wp:extent cx="2362200" cy="1647825"/>
            <wp:effectExtent l="19050" t="0" r="0" b="0"/>
            <wp:docPr id="2" name="Immagine 7" descr="Risultati immagini per logo liceo scientifico e medi cicc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sultati immagini per logo liceo scientifico e medi cicciano"/>
                    <pic:cNvPicPr>
                      <a:picLocks noChangeAspect="1" noChangeArrowheads="1"/>
                    </pic:cNvPicPr>
                  </pic:nvPicPr>
                  <pic:blipFill>
                    <a:blip r:embed="rId8" cstate="print"/>
                    <a:srcRect/>
                    <a:stretch>
                      <a:fillRect/>
                    </a:stretch>
                  </pic:blipFill>
                  <pic:spPr bwMode="auto">
                    <a:xfrm>
                      <a:off x="0" y="0"/>
                      <a:ext cx="2379063" cy="1659588"/>
                    </a:xfrm>
                    <a:prstGeom prst="rect">
                      <a:avLst/>
                    </a:prstGeom>
                    <a:noFill/>
                    <a:ln w="9525">
                      <a:noFill/>
                      <a:miter lim="800000"/>
                      <a:headEnd/>
                      <a:tailEnd/>
                    </a:ln>
                  </pic:spPr>
                </pic:pic>
              </a:graphicData>
            </a:graphic>
          </wp:inline>
        </w:drawing>
      </w:r>
      <w:r w:rsidRPr="00EB6D16">
        <w:rPr>
          <w:noProof/>
          <w:lang w:eastAsia="it-IT"/>
        </w:rPr>
        <w:t xml:space="preserve"> </w:t>
      </w:r>
      <w:r>
        <w:rPr>
          <w:noProof/>
          <w:lang w:eastAsia="it-IT"/>
        </w:rPr>
        <w:t xml:space="preserve">            </w:t>
      </w:r>
    </w:p>
    <w:p w:rsidR="00152767" w:rsidRPr="00152767" w:rsidRDefault="00152767" w:rsidP="00152767">
      <w:pPr>
        <w:jc w:val="center"/>
        <w:rPr>
          <w:rFonts w:ascii="Times New Roman" w:hAnsi="Times New Roman" w:cs="Times New Roman"/>
          <w:sz w:val="40"/>
          <w:szCs w:val="40"/>
        </w:rPr>
      </w:pPr>
      <w:r>
        <w:rPr>
          <w:noProof/>
          <w:lang w:eastAsia="it-IT"/>
        </w:rPr>
        <w:t xml:space="preserve">     </w:t>
      </w:r>
      <w:r w:rsidRPr="00152767">
        <w:rPr>
          <w:rFonts w:ascii="Times New Roman" w:hAnsi="Times New Roman" w:cs="Times New Roman"/>
          <w:b/>
          <w:sz w:val="40"/>
          <w:szCs w:val="40"/>
        </w:rPr>
        <w:t>“GLI EFFETTI E LE CONS</w:t>
      </w:r>
      <w:r w:rsidR="00847259">
        <w:rPr>
          <w:rFonts w:ascii="Times New Roman" w:hAnsi="Times New Roman" w:cs="Times New Roman"/>
          <w:b/>
          <w:sz w:val="40"/>
          <w:szCs w:val="40"/>
        </w:rPr>
        <w:t>E</w:t>
      </w:r>
      <w:r w:rsidRPr="00152767">
        <w:rPr>
          <w:rFonts w:ascii="Times New Roman" w:hAnsi="Times New Roman" w:cs="Times New Roman"/>
          <w:b/>
          <w:sz w:val="40"/>
          <w:szCs w:val="40"/>
        </w:rPr>
        <w:t>GUENZE DEL COVID - 19 SUL SISTEMA ECONOMICO GLOBALE”</w:t>
      </w:r>
    </w:p>
    <w:p w:rsidR="00152767" w:rsidRDefault="00152767" w:rsidP="00E5645A">
      <w:pPr>
        <w:spacing w:line="540" w:lineRule="atLeast"/>
        <w:jc w:val="center"/>
        <w:rPr>
          <w:rFonts w:ascii="Times New Roman" w:hAnsi="Times New Roman" w:cs="Times New Roman"/>
          <w:b/>
          <w:sz w:val="40"/>
          <w:szCs w:val="40"/>
        </w:rPr>
      </w:pPr>
      <w:r>
        <w:rPr>
          <w:rFonts w:ascii="Times New Roman" w:hAnsi="Times New Roman" w:cs="Times New Roman"/>
          <w:b/>
          <w:sz w:val="40"/>
          <w:szCs w:val="40"/>
        </w:rPr>
        <w:t>**********************************************</w:t>
      </w:r>
    </w:p>
    <w:p w:rsidR="00E5645A" w:rsidRPr="00B15B15" w:rsidRDefault="00E5645A" w:rsidP="00152767">
      <w:pPr>
        <w:pStyle w:val="Titolo4"/>
        <w:spacing w:before="0" w:after="0" w:line="540" w:lineRule="atLeast"/>
        <w:ind w:firstLine="0"/>
        <w:jc w:val="center"/>
        <w:rPr>
          <w:sz w:val="36"/>
          <w:szCs w:val="36"/>
        </w:rPr>
      </w:pPr>
      <w:r w:rsidRPr="00B15B15">
        <w:rPr>
          <w:sz w:val="36"/>
          <w:szCs w:val="36"/>
        </w:rPr>
        <w:t>L’ EUROPA ALLA PROVA DELLA STORIA</w:t>
      </w:r>
    </w:p>
    <w:p w:rsidR="00152767" w:rsidRPr="00B15B15" w:rsidRDefault="00152767" w:rsidP="00E5645A">
      <w:pPr>
        <w:pStyle w:val="Titolo4"/>
        <w:spacing w:before="0" w:after="0" w:line="540" w:lineRule="atLeast"/>
        <w:ind w:firstLine="0"/>
        <w:rPr>
          <w:sz w:val="36"/>
          <w:szCs w:val="36"/>
        </w:rPr>
      </w:pPr>
    </w:p>
    <w:p w:rsidR="00E5645A" w:rsidRPr="00152767" w:rsidRDefault="00152767" w:rsidP="00E5645A">
      <w:pPr>
        <w:pStyle w:val="Titolo4"/>
        <w:spacing w:before="0" w:after="0" w:line="540" w:lineRule="atLeast"/>
        <w:ind w:firstLine="0"/>
        <w:rPr>
          <w:i/>
          <w:sz w:val="36"/>
          <w:szCs w:val="36"/>
          <w:u w:val="single"/>
        </w:rPr>
      </w:pPr>
      <w:r w:rsidRPr="00152767">
        <w:rPr>
          <w:i/>
          <w:sz w:val="36"/>
          <w:szCs w:val="36"/>
          <w:u w:val="single"/>
        </w:rPr>
        <w:t>1</w:t>
      </w:r>
      <w:r w:rsidR="00E5645A" w:rsidRPr="00152767">
        <w:rPr>
          <w:i/>
          <w:sz w:val="36"/>
          <w:szCs w:val="36"/>
          <w:u w:val="single"/>
        </w:rPr>
        <w:t>.1 Attenuare l’impatto sull’occupazione</w:t>
      </w:r>
    </w:p>
    <w:p w:rsidR="00E5645A" w:rsidRPr="00152767" w:rsidRDefault="00E5645A" w:rsidP="00E5645A">
      <w:pPr>
        <w:rPr>
          <w:b/>
          <w:i/>
          <w:u w:val="single"/>
        </w:rPr>
      </w:pPr>
    </w:p>
    <w:p w:rsidR="00E5645A" w:rsidRDefault="00E5645A" w:rsidP="00E5645A">
      <w:pPr>
        <w:pStyle w:val="Paragrafoelenco"/>
        <w:spacing w:line="540" w:lineRule="atLeast"/>
        <w:ind w:left="0"/>
        <w:jc w:val="both"/>
        <w:rPr>
          <w:rFonts w:ascii="Times New Roman" w:hAnsi="Times New Roman" w:cs="Times New Roman"/>
          <w:sz w:val="28"/>
          <w:szCs w:val="28"/>
        </w:rPr>
      </w:pPr>
      <w:r w:rsidRPr="003C6870">
        <w:rPr>
          <w:rFonts w:ascii="Times New Roman" w:hAnsi="Times New Roman" w:cs="Times New Roman"/>
          <w:sz w:val="28"/>
          <w:szCs w:val="28"/>
        </w:rPr>
        <w:t>Il COVID-19, comunemente noto come coronavirus, ha costituito, costituisce e costituirà  fin tanto che l’immissione in commercio di un vaccino non ne fermi definitivamente il contagio, una grave emergenza sanitaria per i cittadini, le imprese e le economie.</w:t>
      </w:r>
      <w:r>
        <w:rPr>
          <w:rFonts w:ascii="Times New Roman" w:hAnsi="Times New Roman" w:cs="Times New Roman"/>
          <w:sz w:val="28"/>
          <w:szCs w:val="28"/>
        </w:rPr>
        <w:t xml:space="preserve"> Diffusasi prima in Cina, la pandemia ha provocato contagi in tutti gli Stati Membri dell’Unione Europea.</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Oltre all’impatto sociale, l’epidemia di coronavirus ha assunto una declinazione di vero e proprio shock economico di grande portata che ha richiesto e richiede un intervento deciso e coordinato per contribuire a salvare vite umane, garantire che i lavoratori in Europa siano protetti contro le perdite di reddito e che le imprese e i settori più colpiti beneficino del sostegno e della liquidità finanziaria necessari.</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 xml:space="preserve">Abbiamo bisogno di solidarietà tra paesi, regioni, città e cittadini in modo da agire insieme, in modo aperto e trasparente, per garantire la produzione, le scorte, la disponibilità e l’uso razionale di dispositivi medici di protezione e dei farmaci nell’UE con l’obiettivo primario della tutela della salute in uno spirito di solidarietà e cooperazione europea. Inoltre sono </w:t>
      </w:r>
      <w:r>
        <w:rPr>
          <w:rFonts w:ascii="Times New Roman" w:hAnsi="Times New Roman" w:cs="Times New Roman"/>
          <w:sz w:val="28"/>
          <w:szCs w:val="28"/>
        </w:rPr>
        <w:lastRenderedPageBreak/>
        <w:t xml:space="preserve">necessarie misure specifiche per salvaguardare l’occupazione e tutelare i settori più colpiti in caso di interruzione della produzione  o di calo delle vendite. </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 xml:space="preserve">E’ necessario tutelare i lavoratori contro la disoccupazione e la perdita di reddito affinché non siano vittime dell’emergenza sanitaria.  </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I regimi di riduzione dell’orario lavorativo si sono dimostrati efficaci in diversi Stati Membri poiché hanno consentito e consentono di diminuire temporaneamente le ore lavorate sostenendo al contempo il reddito dei lavoratori. Attualmente 17 Stati Membri dispongono di un sistema di questo tipo. Rispetto a tutto questo la Commissione Europea sta elaborando una proposta legislativa relativa a un regime europeo di riassicurazione contro la disoccupazione. Questa iniziativa mira a sostenere coloro che lavorano e a tutelare coloro che hanno perso il lavoro in caso di gravi shock, nonché a ridurre la pressione sulle finanze pubbliche nazionali rafforzando, in tal modo, la dimensione sociale dell’Europa  aumentandone, altresì, la coesione.</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Questo regime, in particolare sarebbe orientato a sostenere le politiche nazionali volte e preservare i posti di lavoro e le competenze attraverso regimi di riduzione dell’orario lavorativo e ad agevolare la transizione dei disoccupati da un lavoro all’altro.</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Gli Stati Membri, quindi, possono decidere di adottare misure applicabili a tutte le imprese, ad esempio integrazioni salariali o la sospensione dei pagamenti delle imposte sulle società, dell’imposta sul valore aggiunto e dei contributi sociali. Tali misure allentano le tensioni finanziarie sulle imprese in modo diretto ed efficace, non sono soggette al controllo sugli aiuti di Stato e possono essere varate dagli Stati Membri immediatamente senza il coinvolgimento della Commissione Europea.</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Gli Stati Membri possono, altresì, previa approvazione della Commissione Europea, soddisfare il grave fabbisogno di liquidità e sostenere le imprese a rischio di fallimento a causa dell’epidemia di COVID-19. La valutazione della Commissione sarà caratterizzata da un approccio di merito tenendo conto dell’impatto dell’epidemia COBVID-19 sulle rispettive economie.</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lastRenderedPageBreak/>
        <w:t>Alla luce dell’impatto macroeconomico e finanziario del COVID-19, la risposta a livello di politica economica deve essere coraggiosa e coordinata in modo da ridurre le ripercussioni sull’economia nel suo complesso impiegando tutti gli strumenti a disposizione dell’Unione Europea e utilizzando pienamente un quadro flessibile per favorire le azioni degli Stati Membri.</w:t>
      </w: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Default="00E5645A" w:rsidP="00E5645A">
      <w:pPr>
        <w:pStyle w:val="Paragrafoelenco"/>
        <w:spacing w:line="540" w:lineRule="atLeast"/>
        <w:ind w:left="0"/>
        <w:jc w:val="both"/>
        <w:rPr>
          <w:rFonts w:ascii="Times New Roman" w:hAnsi="Times New Roman" w:cs="Times New Roman"/>
          <w:sz w:val="28"/>
          <w:szCs w:val="28"/>
        </w:rPr>
      </w:pPr>
    </w:p>
    <w:p w:rsidR="00E5645A" w:rsidRPr="00152767" w:rsidRDefault="00152767" w:rsidP="00E5645A">
      <w:pPr>
        <w:pStyle w:val="Titolo4"/>
        <w:spacing w:before="0" w:after="0" w:line="540" w:lineRule="atLeast"/>
        <w:ind w:firstLine="0"/>
        <w:rPr>
          <w:i/>
          <w:sz w:val="36"/>
          <w:szCs w:val="36"/>
          <w:u w:val="single"/>
        </w:rPr>
      </w:pPr>
      <w:r w:rsidRPr="00152767">
        <w:rPr>
          <w:i/>
          <w:sz w:val="36"/>
          <w:szCs w:val="36"/>
          <w:u w:val="single"/>
        </w:rPr>
        <w:lastRenderedPageBreak/>
        <w:t>1</w:t>
      </w:r>
      <w:r w:rsidR="00E5645A" w:rsidRPr="00152767">
        <w:rPr>
          <w:i/>
          <w:sz w:val="36"/>
          <w:szCs w:val="36"/>
          <w:u w:val="single"/>
        </w:rPr>
        <w:t>.2 Tempestività e trasparenza: elementi essenziali per la ripresa</w:t>
      </w:r>
    </w:p>
    <w:p w:rsidR="00E5645A" w:rsidRPr="009036A2" w:rsidRDefault="00E5645A" w:rsidP="00E5645A">
      <w:pPr>
        <w:pStyle w:val="Paragrafoelenco"/>
        <w:spacing w:line="540" w:lineRule="atLeast"/>
        <w:ind w:left="0"/>
        <w:jc w:val="both"/>
        <w:rPr>
          <w:rFonts w:ascii="Times New Roman" w:hAnsi="Times New Roman" w:cs="Times New Roman"/>
          <w:sz w:val="28"/>
          <w:szCs w:val="28"/>
        </w:rPr>
      </w:pPr>
      <w:r w:rsidRPr="009036A2">
        <w:rPr>
          <w:rFonts w:ascii="Times New Roman" w:hAnsi="Times New Roman" w:cs="Times New Roman"/>
          <w:sz w:val="28"/>
          <w:szCs w:val="28"/>
        </w:rPr>
        <w:t xml:space="preserve">Il COVID-19 ha messo e sta mettendo l’Europa di fronte  alla lavagna della propria responsabilità come mai era accaduto nei decenni passati, una prova finale di carattere strutturale. </w:t>
      </w:r>
    </w:p>
    <w:p w:rsidR="00E5645A" w:rsidRPr="009036A2" w:rsidRDefault="00E5645A" w:rsidP="00E5645A">
      <w:pPr>
        <w:pStyle w:val="Paragrafoelenco"/>
        <w:spacing w:line="540" w:lineRule="atLeast"/>
        <w:ind w:left="0"/>
        <w:jc w:val="both"/>
        <w:rPr>
          <w:rFonts w:ascii="Times New Roman" w:hAnsi="Times New Roman" w:cs="Times New Roman"/>
          <w:sz w:val="28"/>
          <w:szCs w:val="28"/>
        </w:rPr>
      </w:pPr>
      <w:r w:rsidRPr="009036A2">
        <w:rPr>
          <w:rFonts w:ascii="Times New Roman" w:hAnsi="Times New Roman" w:cs="Times New Roman"/>
          <w:sz w:val="28"/>
          <w:szCs w:val="28"/>
        </w:rPr>
        <w:t>La crisi sanitaria prima e quella economica e sociale in divenire, sono  i  fattori che mostreranno il vero volto dell’Unione Europea visto che, oramai, ci si trova di fronte ad un bivio che impone una scelta: da una parte, la strada di una vera e propria coesione, di politiche comuni, di valori e principi condivisi; dall’altra, gli interessi e gli egoismi nazionali e, di conseguenza, la definitiva fine, il crollo del sogno europeo.</w:t>
      </w:r>
    </w:p>
    <w:p w:rsidR="00E5645A" w:rsidRPr="009036A2" w:rsidRDefault="00E5645A" w:rsidP="00E5645A">
      <w:pPr>
        <w:pStyle w:val="Paragrafoelenco"/>
        <w:spacing w:line="540" w:lineRule="atLeast"/>
        <w:ind w:left="0"/>
        <w:jc w:val="both"/>
        <w:rPr>
          <w:rFonts w:ascii="Times New Roman" w:hAnsi="Times New Roman" w:cs="Times New Roman"/>
          <w:sz w:val="28"/>
          <w:szCs w:val="28"/>
        </w:rPr>
      </w:pPr>
      <w:r w:rsidRPr="009036A2">
        <w:rPr>
          <w:rFonts w:ascii="Times New Roman" w:hAnsi="Times New Roman" w:cs="Times New Roman"/>
          <w:sz w:val="28"/>
          <w:szCs w:val="28"/>
        </w:rPr>
        <w:t xml:space="preserve">Le risposte del passato alle emergenze sanitarie e ai disastri naturali hanno dimostrato che gli investimenti che danno impulso all’occupazione nei settori delle strutture e dei servizi sanitari, di approvvigionamento idrico e igienico-sanitario sono importanti strumenti di creazione immediata di posti di lavoro nei periodi di crisi. Le politiche a sostegno dello sviluppo di competenze e della capacità imprenditoriale attenuano gli effetti della disoccupazione. </w:t>
      </w:r>
    </w:p>
    <w:p w:rsidR="00E5645A" w:rsidRPr="009036A2" w:rsidRDefault="00E5645A" w:rsidP="00E5645A">
      <w:pPr>
        <w:pStyle w:val="Paragrafoelenco"/>
        <w:spacing w:line="540" w:lineRule="atLeast"/>
        <w:ind w:left="0"/>
        <w:jc w:val="both"/>
        <w:rPr>
          <w:rFonts w:ascii="Times New Roman" w:hAnsi="Times New Roman" w:cs="Times New Roman"/>
          <w:sz w:val="28"/>
          <w:szCs w:val="28"/>
        </w:rPr>
      </w:pPr>
      <w:r w:rsidRPr="009036A2">
        <w:rPr>
          <w:rFonts w:ascii="Times New Roman" w:hAnsi="Times New Roman" w:cs="Times New Roman"/>
          <w:sz w:val="28"/>
          <w:szCs w:val="28"/>
        </w:rPr>
        <w:t xml:space="preserve">I sistemi di sicurezza sociale e </w:t>
      </w:r>
      <w:r>
        <w:rPr>
          <w:rFonts w:ascii="Times New Roman" w:hAnsi="Times New Roman" w:cs="Times New Roman"/>
          <w:sz w:val="28"/>
          <w:szCs w:val="28"/>
        </w:rPr>
        <w:t>le strutture pubbliche per i servizi sociali rafforzano la resilienza, permettendo alle società di far fronte tempestivamente alle emergenze e di mitigare eventuali crisi future.</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I sistemi di protezione sociale efficaci ed efficienti, sono potenti stabilizzatori a livello sociale ed economico, soprattutto se esistenti già prima dello scopiio della crisi.</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L’epidemia di Ebola scoppiata in varie regioni dell’Africa Occidentale, ha dimostrato che la mancanza di misure di protezione sociale durante le emergenze sanitarie aggrava la povertà, la disoccupazione e l’informalità, innescando un circolo vizioso con conseguenze ancora peggiori.</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Essere preparati su tutti i livelli è essenziale per attenuare gli effetti e per rafforzare la resilienza, proteggendo posti di lavoro, imprese e mezzi di sussistenza.</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lastRenderedPageBreak/>
        <w:t>Con riferimento ad epidemie precedenti, la pianificazione della continuità aziendale ha dimostrato di dare un contributo fondamentale nell’affrontare l’incertezza sul futuro e nel promuovere la sostenibilità aziendale, tramite l’individuazione e la gestione dei rischi; la definizione delle priorità aziendali nonché dei servizi e dei prodotti essenziali; l’elaborazione di piani  di intervento implementando tutte le misure per ridurre al minimo gli effetti avversi ed assicurare la tutela e la preparazione dei posti di lavoro e dei lavoratori.</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Il dialogo sociale costruttivo e costante tra i governi e le parti sociali, gioca un ruolo chiave nell’elaborazione di misure efficaci a livello aziendale, settoriale e macroeconomico, come dimostrato dalle crisi economiche della storia.</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Agendo in maniera unilaterale, i governi non saranno in grado di affrontare le cause e le conseguenze della crisi, ne tantomeno di garantire la stabilità sociale e la ripresa.</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 xml:space="preserve">Il dialogo sociale costituisce uno strumento insostituibile per gestire la crisi in maniera bilanciata e per accelerare la ripresa, nonché un prezioso strumento di “governance” in vista del cambiamento. Stabilire dei canali di comunicazione efficaci ed il dialogo costante con i governi è fondamentale per consentire alle organizzazione dei datori di lavoro e dei lavoratori di gestire la ristrutturazione aziendale  in maniera sostenibile preservando i posti di lavoro. </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Poiché la crisi si evolve rapidamente, un attento monitoraggio degli effetti diretti ed indiretti è fondamentale per garantire che le misure adottate siano e rimangano adeguate.</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Rafforzare la fiducia attraverso il dialogo è fondamentale per rendere le misure efficaci. Soprattutto in tempi di forte tensione sociale e di mancanza di fiducia delle istituzioni, rafforzare il rispetto  e la fiducia dei meccanismi del dialogo sociale costituisce una solida base per favorire l’impegno dei datori di lavoro e dei lavoratori nell’azione congiunta con i governi.</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In altre parole un’informazione accurata, coerente, tempestiva e trasparente è essenziale  non solo per combattere la pandemia ma anche per ridurre l’incertezza e rafforzare la fiducia a tutti i livelli economici e sociali, incluso sul posto di lavoro.</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lastRenderedPageBreak/>
        <w:t>Un calo o una mancanza delle fiducia influisce sulla spesa  dei consumatori e sugli investimenti delle imprese generando un rallentamento economico e frenando la ripresa.</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 xml:space="preserve">I luoghi di lavoro sono centri nevralgici per la trasmissione di informazioni, la comunicazione e la sensibilizzazione in materia di sicurezza e salute sul lavoro e di misure di prevenzione e protezione volte e ridurre la diffusione di malattie infettive. </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 xml:space="preserve">Ciò contribuisce, a sua volta, a ridurre l’impatto sociale ed economico di tali malattie tutelando, altresì, i posti di lavoro, soprattutto nei settori più colpiti. </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Lavoratori e datori di lavoro possono lavorare insieme per sostenere la prevenzione, aumentare la consapevolezza e rafforzare la capacità dei loro membri nonché per attuare pratiche di sicurezza e salute sul posto di lavoro in linea con le relative norme internazionali del lavoro.</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Gli interventi su larga scala sono più efficaci rispetto agli approcci di tipo isolato, soprattutto s si dispone di una grande quantità di risorse e di soluzioni politiche innovative. Ciò è fondamentale per preservare il tenore di vita delle popolazioni colpite e per stimolare la ripresa della domanda.</w:t>
      </w:r>
    </w:p>
    <w:p w:rsidR="00E5645A" w:rsidRDefault="00E5645A" w:rsidP="00E5645A">
      <w:pPr>
        <w:pStyle w:val="Paragrafoelenco"/>
        <w:spacing w:line="540" w:lineRule="atLeast"/>
        <w:ind w:left="0"/>
        <w:jc w:val="both"/>
        <w:rPr>
          <w:rFonts w:ascii="Times New Roman" w:hAnsi="Times New Roman" w:cs="Times New Roman"/>
          <w:sz w:val="28"/>
          <w:szCs w:val="28"/>
        </w:rPr>
      </w:pPr>
    </w:p>
    <w:p w:rsidR="00152767" w:rsidRDefault="00152767" w:rsidP="00E5645A">
      <w:pPr>
        <w:pStyle w:val="Paragrafoelenco"/>
        <w:spacing w:line="540" w:lineRule="atLeast"/>
        <w:ind w:left="0"/>
        <w:jc w:val="both"/>
        <w:rPr>
          <w:rFonts w:ascii="Times New Roman" w:hAnsi="Times New Roman" w:cs="Times New Roman"/>
          <w:sz w:val="28"/>
          <w:szCs w:val="28"/>
        </w:rPr>
      </w:pPr>
    </w:p>
    <w:p w:rsidR="00152767" w:rsidRDefault="00152767" w:rsidP="00E5645A">
      <w:pPr>
        <w:pStyle w:val="Paragrafoelenco"/>
        <w:spacing w:line="540" w:lineRule="atLeast"/>
        <w:ind w:left="0"/>
        <w:jc w:val="both"/>
        <w:rPr>
          <w:rFonts w:ascii="Times New Roman" w:hAnsi="Times New Roman" w:cs="Times New Roman"/>
          <w:sz w:val="28"/>
          <w:szCs w:val="28"/>
        </w:rPr>
      </w:pPr>
    </w:p>
    <w:p w:rsidR="001E2CD4" w:rsidRDefault="001E2CD4" w:rsidP="00E5645A">
      <w:pPr>
        <w:pStyle w:val="Paragrafoelenco"/>
        <w:spacing w:line="540" w:lineRule="atLeast"/>
        <w:ind w:left="0"/>
        <w:jc w:val="both"/>
        <w:rPr>
          <w:rFonts w:ascii="Times New Roman" w:hAnsi="Times New Roman" w:cs="Times New Roman"/>
          <w:sz w:val="28"/>
          <w:szCs w:val="28"/>
        </w:rPr>
      </w:pPr>
    </w:p>
    <w:p w:rsidR="001E2CD4" w:rsidRDefault="001E2CD4" w:rsidP="00E5645A">
      <w:pPr>
        <w:pStyle w:val="Paragrafoelenco"/>
        <w:spacing w:line="540" w:lineRule="atLeast"/>
        <w:ind w:left="0"/>
        <w:jc w:val="both"/>
        <w:rPr>
          <w:rFonts w:ascii="Times New Roman" w:hAnsi="Times New Roman" w:cs="Times New Roman"/>
          <w:sz w:val="28"/>
          <w:szCs w:val="28"/>
        </w:rPr>
      </w:pPr>
    </w:p>
    <w:p w:rsidR="001E2CD4" w:rsidRDefault="001E2CD4" w:rsidP="00E5645A">
      <w:pPr>
        <w:pStyle w:val="Paragrafoelenco"/>
        <w:spacing w:line="540" w:lineRule="atLeast"/>
        <w:ind w:left="0"/>
        <w:jc w:val="both"/>
        <w:rPr>
          <w:rFonts w:ascii="Times New Roman" w:hAnsi="Times New Roman" w:cs="Times New Roman"/>
          <w:sz w:val="28"/>
          <w:szCs w:val="28"/>
        </w:rPr>
      </w:pPr>
    </w:p>
    <w:p w:rsidR="00152767" w:rsidRDefault="00152767" w:rsidP="00E5645A">
      <w:pPr>
        <w:pStyle w:val="Paragrafoelenco"/>
        <w:spacing w:line="540" w:lineRule="atLeast"/>
        <w:ind w:left="0"/>
        <w:jc w:val="both"/>
        <w:rPr>
          <w:rFonts w:ascii="Times New Roman" w:hAnsi="Times New Roman" w:cs="Times New Roman"/>
          <w:sz w:val="28"/>
          <w:szCs w:val="28"/>
        </w:rPr>
      </w:pPr>
    </w:p>
    <w:p w:rsidR="00152767" w:rsidRDefault="00152767" w:rsidP="00E5645A">
      <w:pPr>
        <w:pStyle w:val="Paragrafoelenco"/>
        <w:spacing w:line="540" w:lineRule="atLeast"/>
        <w:ind w:left="0"/>
        <w:jc w:val="both"/>
        <w:rPr>
          <w:rFonts w:ascii="Times New Roman" w:hAnsi="Times New Roman" w:cs="Times New Roman"/>
          <w:sz w:val="28"/>
          <w:szCs w:val="28"/>
        </w:rPr>
      </w:pPr>
    </w:p>
    <w:p w:rsidR="00152767" w:rsidRDefault="00152767" w:rsidP="00E5645A">
      <w:pPr>
        <w:pStyle w:val="Paragrafoelenco"/>
        <w:spacing w:line="540" w:lineRule="atLeast"/>
        <w:ind w:left="0"/>
        <w:jc w:val="both"/>
        <w:rPr>
          <w:rFonts w:ascii="Times New Roman" w:hAnsi="Times New Roman" w:cs="Times New Roman"/>
          <w:sz w:val="28"/>
          <w:szCs w:val="28"/>
        </w:rPr>
      </w:pPr>
    </w:p>
    <w:p w:rsidR="00152767" w:rsidRDefault="00152767" w:rsidP="00E5645A">
      <w:pPr>
        <w:pStyle w:val="Paragrafoelenco"/>
        <w:spacing w:line="540" w:lineRule="atLeast"/>
        <w:ind w:left="0"/>
        <w:jc w:val="both"/>
        <w:rPr>
          <w:rFonts w:ascii="Times New Roman" w:hAnsi="Times New Roman" w:cs="Times New Roman"/>
          <w:sz w:val="28"/>
          <w:szCs w:val="28"/>
        </w:rPr>
      </w:pPr>
    </w:p>
    <w:p w:rsidR="00E5645A" w:rsidRDefault="00152767" w:rsidP="00E5645A">
      <w:pPr>
        <w:pStyle w:val="Titolo4"/>
        <w:spacing w:before="0" w:after="0" w:line="540" w:lineRule="atLeast"/>
        <w:ind w:firstLine="0"/>
        <w:rPr>
          <w:sz w:val="36"/>
          <w:szCs w:val="36"/>
        </w:rPr>
      </w:pPr>
      <w:r>
        <w:rPr>
          <w:sz w:val="36"/>
          <w:szCs w:val="36"/>
        </w:rPr>
        <w:lastRenderedPageBreak/>
        <w:t>1</w:t>
      </w:r>
      <w:r w:rsidR="00E5645A" w:rsidRPr="005461CD">
        <w:rPr>
          <w:sz w:val="36"/>
          <w:szCs w:val="36"/>
        </w:rPr>
        <w:t>.</w:t>
      </w:r>
      <w:r w:rsidR="00E5645A">
        <w:rPr>
          <w:sz w:val="36"/>
          <w:szCs w:val="36"/>
        </w:rPr>
        <w:t>3</w:t>
      </w:r>
      <w:r w:rsidR="00E5645A" w:rsidRPr="005461CD">
        <w:rPr>
          <w:sz w:val="36"/>
          <w:szCs w:val="36"/>
        </w:rPr>
        <w:t xml:space="preserve"> </w:t>
      </w:r>
      <w:r w:rsidR="00E5645A">
        <w:rPr>
          <w:sz w:val="36"/>
          <w:szCs w:val="36"/>
        </w:rPr>
        <w:t>Il futuro dell’Europa tra scelte ed indecisioni</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 xml:space="preserve">Il tema della solidarietà sociale più volte evocato nei diversi momenti di difficoltà  che ha conosciuto l’Europea a partire dal secondo dopoguerra ad oggi, torna ora prepotentemente alla ribalta nel dibattito politico europeo, chiamato a far fronte ad una importante emergenza sanitaria che porta con sé una nuova crisi economica. Si evoca un necessario cambio di mentalità che consenta di affrontare uniti, in tempi di guerra (anche metaforicamente parlando) un nemico comune e di assumere decisioni importanti a tutela dei cittadini e dell’economia. Da come i Governi decideranno di affrontarla dipenderà il futuro dell’Unione Europea e quello dei popoli che ne fanno oggi parte. </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La sfida rappresentata dalla crisi finanziaria 207 – 2008, ha fornito all’ Europa un’occasione per riportare al centro del dibattito la struttura del processo decisionale europeo sui mercati finanziari, di far fronte al fallimento della “regolazione” e di approntare una riforma regolatoria e istituzionale coraggiosa, sia pure ancora in fase di aggiustamento.</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Il percorso si è poi evoluto nella definizione nel dicembre 2012 di una tabella di marcia per la realizzazione di un quadro finanziario maggiormente integrato, nella prospettiva di realizzare una unione bancaria, una unione fiscale e una unione politica in Europa.</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Già le difficoltà emerse nel completamento dell’unione bancaria hanno evidenziato visioni profondamente diverse in merito all’opportunità di procedere verso l’obiettivo di una maggiore integrazione fiscale e politica. Queste posizioni si sono talvolta radicalizzate e concentrate su dettagli tecnici che seppur rilevanti sfuggono alla comprensione e alla partecipazione dei comuni cittadini, spesso inconsapevolmente coinvolti a sostegno di posizioni semplici o ideologiche.</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Sul medesimo punto sembra finisca per incagliarsi il dibattito odierno sulla fattibilità di individuare una convergenza politica nell’EUROZONA per la definizione di una risposta solidale a sostegno della crisi sanitaria COVID-19, attraverso l’emissione di un debito comune (EUROBOND).</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lastRenderedPageBreak/>
        <w:t>Dietro la scissione tra Paesi che invocano più solidarietà a sostegno dell’emissione di debito e Paesi più cauti o riluttanti si nasconde un’ambiguità di fondo non affrontata esplicitamente.</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 xml:space="preserve">A fronte dell’auspicata condivisione di quel debito, per offrire adeguate garanzie di  rimborso futuro dello stesso è necessario essere pronti a condividere poteri decisionali in materia di gettito fiscale. </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La questione di fondo è la stessa che ha fin qui ostacolato la realizzazione di un sistema unico di assicurazione dei depositi, ovvero l’affidabilità dei singoli Paesi di far fronte agli impegni assunti.</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Questa crisi non è imputabili ad una cattiva gestione economica interna a questo o a quel Paese ma, piuttosto, ad una causa esogena che è stata in grado di oltrepassare i confini geografici oltre che politici tra i singoli Stati e di impattare su ciascuno di essi.</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Per far fronte ad un nemico comune e smuovere risorse addizionali rispetto all’impegno che ciascun Governo può e vuole profondere, l?unione potrebbe emettere obbligazioni di lunga durata a tasso zero e prevedere una lista flessibile di meccanismi di rimborso e di rifinanziamento, attivando allo stesso tempo un processo di graduale integrazione fiscale.</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Si tratta di capire se la preoccupazione sociale legata all’emergenza sanitaria in corso, unitamente al dibattito politico interno a ciascun Paese, saranno in grado di favorire la convergenza politica europea sulla questione e di sviluppare le adeguate necessarie soluzioni istituzionali.</w:t>
      </w:r>
    </w:p>
    <w:p w:rsidR="00E5645A" w:rsidRDefault="00E5645A" w:rsidP="00E5645A">
      <w:pPr>
        <w:pStyle w:val="Paragrafoelenco"/>
        <w:spacing w:line="540" w:lineRule="atLeast"/>
        <w:ind w:left="0"/>
        <w:jc w:val="both"/>
        <w:rPr>
          <w:rFonts w:ascii="Times New Roman" w:hAnsi="Times New Roman" w:cs="Times New Roman"/>
          <w:sz w:val="28"/>
          <w:szCs w:val="28"/>
        </w:rPr>
      </w:pPr>
      <w:r>
        <w:rPr>
          <w:rFonts w:ascii="Times New Roman" w:hAnsi="Times New Roman" w:cs="Times New Roman"/>
          <w:sz w:val="28"/>
          <w:szCs w:val="28"/>
        </w:rPr>
        <w:t>Questa nuova crisi, del resto, nella sua drammaticità va colta anche come un’occasione preziosa per superare il duplice livello UE ed EUROZONA al fine di procedere verso un’EUROPA più integrata da un punto di vista monetario, bancario, fiscale e politico per i Paesi che decideranno di farne parte.</w:t>
      </w:r>
    </w:p>
    <w:p w:rsidR="00B15B15" w:rsidRDefault="00F96D0D" w:rsidP="00B15B15">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 xml:space="preserve">  </w:t>
      </w:r>
      <w:r>
        <w:rPr>
          <w:rFonts w:ascii="Times New Roman" w:hAnsi="Times New Roman" w:cs="Times New Roman"/>
          <w:b/>
          <w:sz w:val="40"/>
          <w:szCs w:val="40"/>
        </w:rPr>
        <w:tab/>
      </w:r>
      <w:r>
        <w:rPr>
          <w:rFonts w:ascii="Times New Roman" w:hAnsi="Times New Roman" w:cs="Times New Roman"/>
          <w:b/>
          <w:sz w:val="40"/>
          <w:szCs w:val="40"/>
        </w:rPr>
        <w:tab/>
      </w:r>
      <w:r>
        <w:rPr>
          <w:rFonts w:ascii="Times New Roman" w:hAnsi="Times New Roman" w:cs="Times New Roman"/>
          <w:b/>
          <w:sz w:val="40"/>
          <w:szCs w:val="40"/>
        </w:rPr>
        <w:tab/>
      </w:r>
      <w:r>
        <w:rPr>
          <w:rFonts w:ascii="Times New Roman" w:hAnsi="Times New Roman" w:cs="Times New Roman"/>
          <w:b/>
          <w:sz w:val="40"/>
          <w:szCs w:val="40"/>
        </w:rPr>
        <w:tab/>
      </w:r>
      <w:r>
        <w:rPr>
          <w:rFonts w:ascii="Times New Roman" w:hAnsi="Times New Roman" w:cs="Times New Roman"/>
          <w:b/>
          <w:sz w:val="40"/>
          <w:szCs w:val="40"/>
        </w:rPr>
        <w:tab/>
      </w:r>
      <w:r>
        <w:rPr>
          <w:rFonts w:ascii="Times New Roman" w:hAnsi="Times New Roman" w:cs="Times New Roman"/>
          <w:b/>
          <w:sz w:val="40"/>
          <w:szCs w:val="40"/>
        </w:rPr>
        <w:tab/>
      </w:r>
      <w:r>
        <w:rPr>
          <w:rFonts w:ascii="Times New Roman" w:hAnsi="Times New Roman" w:cs="Times New Roman"/>
          <w:b/>
          <w:sz w:val="40"/>
          <w:szCs w:val="40"/>
        </w:rPr>
        <w:tab/>
      </w:r>
      <w:r w:rsidR="00B15B15">
        <w:rPr>
          <w:rFonts w:ascii="Times New Roman" w:hAnsi="Times New Roman" w:cs="Times New Roman"/>
          <w:b/>
          <w:sz w:val="40"/>
          <w:szCs w:val="40"/>
        </w:rPr>
        <w:t>Il Docente</w:t>
      </w:r>
    </w:p>
    <w:p w:rsidR="00E5645A" w:rsidRDefault="00F96D0D" w:rsidP="001E2CD4">
      <w:pPr>
        <w:spacing w:after="0" w:line="240" w:lineRule="auto"/>
        <w:jc w:val="center"/>
        <w:rPr>
          <w:rFonts w:ascii="Times New Roman" w:hAnsi="Times New Roman" w:cs="Times New Roman"/>
          <w:sz w:val="28"/>
          <w:szCs w:val="28"/>
        </w:rPr>
      </w:pPr>
      <w:r>
        <w:rPr>
          <w:rFonts w:ascii="Times New Roman" w:hAnsi="Times New Roman" w:cs="Times New Roman"/>
          <w:b/>
          <w:sz w:val="40"/>
          <w:szCs w:val="40"/>
        </w:rPr>
        <w:tab/>
      </w:r>
      <w:r>
        <w:rPr>
          <w:rFonts w:ascii="Times New Roman" w:hAnsi="Times New Roman" w:cs="Times New Roman"/>
          <w:b/>
          <w:sz w:val="40"/>
          <w:szCs w:val="40"/>
        </w:rPr>
        <w:tab/>
      </w:r>
      <w:r>
        <w:rPr>
          <w:rFonts w:ascii="Times New Roman" w:hAnsi="Times New Roman" w:cs="Times New Roman"/>
          <w:b/>
          <w:sz w:val="40"/>
          <w:szCs w:val="40"/>
        </w:rPr>
        <w:tab/>
      </w:r>
      <w:r>
        <w:rPr>
          <w:rFonts w:ascii="Times New Roman" w:hAnsi="Times New Roman" w:cs="Times New Roman"/>
          <w:b/>
          <w:sz w:val="40"/>
          <w:szCs w:val="40"/>
        </w:rPr>
        <w:tab/>
      </w:r>
      <w:r>
        <w:rPr>
          <w:rFonts w:ascii="Times New Roman" w:hAnsi="Times New Roman" w:cs="Times New Roman"/>
          <w:b/>
          <w:sz w:val="40"/>
          <w:szCs w:val="40"/>
        </w:rPr>
        <w:tab/>
      </w:r>
      <w:r>
        <w:rPr>
          <w:rFonts w:ascii="Times New Roman" w:hAnsi="Times New Roman" w:cs="Times New Roman"/>
          <w:b/>
          <w:sz w:val="40"/>
          <w:szCs w:val="40"/>
        </w:rPr>
        <w:tab/>
      </w:r>
      <w:r>
        <w:rPr>
          <w:rFonts w:ascii="Times New Roman" w:hAnsi="Times New Roman" w:cs="Times New Roman"/>
          <w:b/>
          <w:sz w:val="40"/>
          <w:szCs w:val="40"/>
        </w:rPr>
        <w:tab/>
      </w:r>
      <w:r w:rsidR="00B15B15">
        <w:rPr>
          <w:rFonts w:ascii="Times New Roman" w:hAnsi="Times New Roman" w:cs="Times New Roman"/>
          <w:b/>
          <w:sz w:val="40"/>
          <w:szCs w:val="40"/>
        </w:rPr>
        <w:t>Prof. Salvatore ALAIA</w:t>
      </w:r>
    </w:p>
    <w:p w:rsidR="00E5645A" w:rsidRDefault="00E5645A" w:rsidP="00E5645A">
      <w:pPr>
        <w:pStyle w:val="Paragrafoelenco"/>
        <w:spacing w:line="540" w:lineRule="atLeast"/>
        <w:ind w:left="0"/>
        <w:jc w:val="both"/>
        <w:rPr>
          <w:rFonts w:ascii="Times New Roman" w:hAnsi="Times New Roman" w:cs="Times New Roman"/>
          <w:sz w:val="28"/>
          <w:szCs w:val="28"/>
        </w:rPr>
      </w:pPr>
    </w:p>
    <w:sectPr w:rsidR="00E5645A" w:rsidSect="001870B0">
      <w:footerReference w:type="default" r:id="rId9"/>
      <w:pgSz w:w="11906" w:h="16838"/>
      <w:pgMar w:top="426" w:right="849"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FC7" w:rsidRDefault="00A12FC7" w:rsidP="00E5645A">
      <w:pPr>
        <w:spacing w:after="0" w:line="240" w:lineRule="auto"/>
      </w:pPr>
      <w:r>
        <w:separator/>
      </w:r>
    </w:p>
  </w:endnote>
  <w:endnote w:type="continuationSeparator" w:id="0">
    <w:p w:rsidR="00A12FC7" w:rsidRDefault="00A12FC7" w:rsidP="00E56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rPr>
      <w:id w:val="1311581792"/>
      <w:docPartObj>
        <w:docPartGallery w:val="Page Numbers (Bottom of Page)"/>
        <w:docPartUnique/>
      </w:docPartObj>
    </w:sdtPr>
    <w:sdtEndPr/>
    <w:sdtContent>
      <w:sdt>
        <w:sdtPr>
          <w:rPr>
            <w:rFonts w:asciiTheme="majorHAnsi" w:eastAsiaTheme="majorEastAsia" w:hAnsiTheme="majorHAnsi" w:cstheme="majorBidi"/>
          </w:rPr>
          <w:id w:val="104734790"/>
          <w:docPartObj>
            <w:docPartGallery w:val="Page Numbers (Margins)"/>
            <w:docPartUnique/>
          </w:docPartObj>
        </w:sdtPr>
        <w:sdtEndPr/>
        <w:sdtContent>
          <w:p w:rsidR="001870B0" w:rsidRDefault="000848E1">
            <w:pPr>
              <w:rPr>
                <w:rFonts w:asciiTheme="majorHAnsi" w:eastAsiaTheme="majorEastAsia" w:hAnsiTheme="majorHAnsi" w:cstheme="majorBidi"/>
              </w:rPr>
            </w:pPr>
            <w:r>
              <w:rPr>
                <w:rFonts w:asciiTheme="majorHAnsi" w:eastAsiaTheme="majorEastAsia" w:hAnsiTheme="majorHAnsi" w:cstheme="majorBidi"/>
                <w:noProof/>
                <w:lang w:eastAsia="it-IT"/>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626745" cy="626745"/>
                      <wp:effectExtent l="0" t="0" r="1905" b="190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870B0" w:rsidRDefault="00A12FC7">
                                  <w:pPr>
                                    <w:pStyle w:val="Pidipagina"/>
                                    <w:jc w:val="center"/>
                                    <w:rPr>
                                      <w:b/>
                                      <w:color w:val="FFFFFF" w:themeColor="background1"/>
                                      <w:sz w:val="32"/>
                                      <w:szCs w:val="32"/>
                                    </w:rPr>
                                  </w:pPr>
                                  <w:r>
                                    <w:fldChar w:fldCharType="begin"/>
                                  </w:r>
                                  <w:r>
                                    <w:instrText xml:space="preserve"> PAGE    \* MERGEFORMAT </w:instrText>
                                  </w:r>
                                  <w:r>
                                    <w:fldChar w:fldCharType="separate"/>
                                  </w:r>
                                  <w:r w:rsidR="000848E1" w:rsidRPr="000848E1">
                                    <w:rPr>
                                      <w:b/>
                                      <w:noProof/>
                                      <w:color w:val="FFFFFF" w:themeColor="background1"/>
                                      <w:sz w:val="32"/>
                                      <w:szCs w:val="32"/>
                                    </w:rPr>
                                    <w:t>1</w:t>
                                  </w:r>
                                  <w:r>
                                    <w:rPr>
                                      <w:b/>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 o:spid="_x0000_s1026" style="position:absolute;margin-left:0;margin-top:0;width:49.35pt;height:49.3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" fillcolor="#365f91 [2404]" stroked="f">
                      <v:textbox>
                        <w:txbxContent>
                          <w:p w:rsidR="001870B0" w:rsidRDefault="00A12FC7">
                            <w:pPr>
                              <w:pStyle w:val="Pidipagina"/>
                              <w:jc w:val="center"/>
                              <w:rPr>
                                <w:b/>
                                <w:color w:val="FFFFFF" w:themeColor="background1"/>
                                <w:sz w:val="32"/>
                                <w:szCs w:val="32"/>
                              </w:rPr>
                            </w:pPr>
                            <w:r>
                              <w:fldChar w:fldCharType="begin"/>
                            </w:r>
                            <w:r>
                              <w:instrText xml:space="preserve"> PAGE    \* MERGEFORMAT </w:instrText>
                            </w:r>
                            <w:r>
                              <w:fldChar w:fldCharType="separate"/>
                            </w:r>
                            <w:r w:rsidR="000848E1" w:rsidRPr="000848E1">
                              <w:rPr>
                                <w:b/>
                                <w:noProof/>
                                <w:color w:val="FFFFFF" w:themeColor="background1"/>
                                <w:sz w:val="32"/>
                                <w:szCs w:val="32"/>
                              </w:rPr>
                              <w:t>1</w:t>
                            </w:r>
                            <w:r>
                              <w:rPr>
                                <w:b/>
                                <w:noProof/>
                                <w:color w:val="FFFFFF" w:themeColor="background1"/>
                                <w:sz w:val="32"/>
                                <w:szCs w:val="32"/>
                              </w:rPr>
                              <w:fldChar w:fldCharType="end"/>
                            </w:r>
                          </w:p>
                        </w:txbxContent>
                      </v:textbox>
                      <w10:wrap anchorx="margin" anchory="margin"/>
                    </v:oval>
                  </w:pict>
                </mc:Fallback>
              </mc:AlternateContent>
            </w:r>
          </w:p>
        </w:sdtContent>
      </w:sdt>
    </w:sdtContent>
  </w:sdt>
  <w:p w:rsidR="001870B0" w:rsidRDefault="001870B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FC7" w:rsidRDefault="00A12FC7" w:rsidP="00E5645A">
      <w:pPr>
        <w:spacing w:after="0" w:line="240" w:lineRule="auto"/>
      </w:pPr>
      <w:r>
        <w:separator/>
      </w:r>
    </w:p>
  </w:footnote>
  <w:footnote w:type="continuationSeparator" w:id="0">
    <w:p w:rsidR="00A12FC7" w:rsidRDefault="00A12FC7" w:rsidP="00E564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53079"/>
    <w:multiLevelType w:val="hybridMultilevel"/>
    <w:tmpl w:val="C2EC92F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D04234A"/>
    <w:multiLevelType w:val="hybridMultilevel"/>
    <w:tmpl w:val="D6B8F4CE"/>
    <w:lvl w:ilvl="0" w:tplc="E3943BF0">
      <w:start w:val="1"/>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8EA0005"/>
    <w:multiLevelType w:val="hybridMultilevel"/>
    <w:tmpl w:val="21D2F29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9033DE2"/>
    <w:multiLevelType w:val="hybridMultilevel"/>
    <w:tmpl w:val="DCAEA63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A98798D"/>
    <w:multiLevelType w:val="multilevel"/>
    <w:tmpl w:val="B134A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2C0"/>
    <w:rsid w:val="000848E1"/>
    <w:rsid w:val="000868A9"/>
    <w:rsid w:val="00092077"/>
    <w:rsid w:val="00094AC8"/>
    <w:rsid w:val="000A65B6"/>
    <w:rsid w:val="00130D38"/>
    <w:rsid w:val="00152767"/>
    <w:rsid w:val="001870B0"/>
    <w:rsid w:val="001E2CD4"/>
    <w:rsid w:val="002925A3"/>
    <w:rsid w:val="002E6752"/>
    <w:rsid w:val="003101EB"/>
    <w:rsid w:val="003140AC"/>
    <w:rsid w:val="00363855"/>
    <w:rsid w:val="003E1FB0"/>
    <w:rsid w:val="00421075"/>
    <w:rsid w:val="00431CE0"/>
    <w:rsid w:val="00471FDD"/>
    <w:rsid w:val="004A2BAF"/>
    <w:rsid w:val="00525DD2"/>
    <w:rsid w:val="0057717A"/>
    <w:rsid w:val="00585138"/>
    <w:rsid w:val="005D48C7"/>
    <w:rsid w:val="00697A25"/>
    <w:rsid w:val="007B7C70"/>
    <w:rsid w:val="007D07F9"/>
    <w:rsid w:val="007D7459"/>
    <w:rsid w:val="007F357B"/>
    <w:rsid w:val="00846469"/>
    <w:rsid w:val="00847259"/>
    <w:rsid w:val="00892036"/>
    <w:rsid w:val="00892F89"/>
    <w:rsid w:val="008C31A0"/>
    <w:rsid w:val="009469B2"/>
    <w:rsid w:val="00950007"/>
    <w:rsid w:val="009C476D"/>
    <w:rsid w:val="009F7717"/>
    <w:rsid w:val="00A12FC7"/>
    <w:rsid w:val="00A542C0"/>
    <w:rsid w:val="00A73988"/>
    <w:rsid w:val="00A87B5C"/>
    <w:rsid w:val="00AA3E77"/>
    <w:rsid w:val="00AD0151"/>
    <w:rsid w:val="00B15B15"/>
    <w:rsid w:val="00B87E65"/>
    <w:rsid w:val="00BE4B85"/>
    <w:rsid w:val="00C461F6"/>
    <w:rsid w:val="00C6368A"/>
    <w:rsid w:val="00C95932"/>
    <w:rsid w:val="00CB081F"/>
    <w:rsid w:val="00CE05E0"/>
    <w:rsid w:val="00D10DB0"/>
    <w:rsid w:val="00D73CF0"/>
    <w:rsid w:val="00D74719"/>
    <w:rsid w:val="00DB41DC"/>
    <w:rsid w:val="00DE24E3"/>
    <w:rsid w:val="00E2540E"/>
    <w:rsid w:val="00E5645A"/>
    <w:rsid w:val="00EA114B"/>
    <w:rsid w:val="00EC006A"/>
    <w:rsid w:val="00ED1D53"/>
    <w:rsid w:val="00F157B6"/>
    <w:rsid w:val="00F469B2"/>
    <w:rsid w:val="00F86BEE"/>
    <w:rsid w:val="00F96D0D"/>
    <w:rsid w:val="00FB0A99"/>
    <w:rsid w:val="00FE05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8E802C-02D7-4289-98D1-C38570F70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D07F9"/>
  </w:style>
  <w:style w:type="paragraph" w:styleId="Titolo4">
    <w:name w:val="heading 4"/>
    <w:basedOn w:val="Normale"/>
    <w:next w:val="Normale"/>
    <w:link w:val="Titolo4Carattere"/>
    <w:uiPriority w:val="99"/>
    <w:qFormat/>
    <w:rsid w:val="00E5645A"/>
    <w:pPr>
      <w:keepNext/>
      <w:spacing w:before="240" w:after="60" w:line="288" w:lineRule="auto"/>
      <w:ind w:firstLine="709"/>
      <w:jc w:val="both"/>
      <w:outlineLvl w:val="3"/>
    </w:pPr>
    <w:rPr>
      <w:rFonts w:ascii="Times New Roman" w:eastAsiaTheme="minorEastAsia" w:hAnsi="Times New Roman" w:cs="Times New Roman"/>
      <w:b/>
      <w:bCs/>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542C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D73CF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3CF0"/>
    <w:rPr>
      <w:rFonts w:ascii="Tahoma" w:hAnsi="Tahoma" w:cs="Tahoma"/>
      <w:sz w:val="16"/>
      <w:szCs w:val="16"/>
    </w:rPr>
  </w:style>
  <w:style w:type="character" w:customStyle="1" w:styleId="Titolo4Carattere">
    <w:name w:val="Titolo 4 Carattere"/>
    <w:basedOn w:val="Carpredefinitoparagrafo"/>
    <w:link w:val="Titolo4"/>
    <w:uiPriority w:val="99"/>
    <w:rsid w:val="00E5645A"/>
    <w:rPr>
      <w:rFonts w:ascii="Times New Roman" w:eastAsiaTheme="minorEastAsia" w:hAnsi="Times New Roman" w:cs="Times New Roman"/>
      <w:b/>
      <w:bCs/>
      <w:sz w:val="28"/>
      <w:szCs w:val="28"/>
      <w:lang w:eastAsia="it-IT"/>
    </w:rPr>
  </w:style>
  <w:style w:type="paragraph" w:styleId="Paragrafoelenco">
    <w:name w:val="List Paragraph"/>
    <w:basedOn w:val="Normale"/>
    <w:uiPriority w:val="1"/>
    <w:qFormat/>
    <w:rsid w:val="00E5645A"/>
    <w:pPr>
      <w:ind w:left="720"/>
      <w:contextualSpacing/>
    </w:pPr>
    <w:rPr>
      <w:rFonts w:eastAsiaTheme="minorEastAsia"/>
      <w:lang w:eastAsia="it-IT"/>
    </w:rPr>
  </w:style>
  <w:style w:type="paragraph" w:styleId="Testonotaapidipagina">
    <w:name w:val="footnote text"/>
    <w:basedOn w:val="Normale"/>
    <w:link w:val="TestonotaapidipaginaCarattere"/>
    <w:uiPriority w:val="99"/>
    <w:unhideWhenUsed/>
    <w:rsid w:val="00E5645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E5645A"/>
    <w:rPr>
      <w:sz w:val="20"/>
      <w:szCs w:val="20"/>
    </w:rPr>
  </w:style>
  <w:style w:type="character" w:styleId="Rimandonotaapidipagina">
    <w:name w:val="footnote reference"/>
    <w:basedOn w:val="Carpredefinitoparagrafo"/>
    <w:uiPriority w:val="99"/>
    <w:semiHidden/>
    <w:unhideWhenUsed/>
    <w:rsid w:val="00E5645A"/>
    <w:rPr>
      <w:vertAlign w:val="superscript"/>
    </w:rPr>
  </w:style>
  <w:style w:type="paragraph" w:styleId="Intestazione">
    <w:name w:val="header"/>
    <w:basedOn w:val="Normale"/>
    <w:link w:val="IntestazioneCarattere"/>
    <w:uiPriority w:val="99"/>
    <w:semiHidden/>
    <w:unhideWhenUsed/>
    <w:rsid w:val="001870B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1870B0"/>
  </w:style>
  <w:style w:type="paragraph" w:styleId="Pidipagina">
    <w:name w:val="footer"/>
    <w:basedOn w:val="Normale"/>
    <w:link w:val="PidipaginaCarattere"/>
    <w:uiPriority w:val="99"/>
    <w:unhideWhenUsed/>
    <w:rsid w:val="001870B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87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9418">
      <w:bodyDiv w:val="1"/>
      <w:marLeft w:val="0"/>
      <w:marRight w:val="0"/>
      <w:marTop w:val="0"/>
      <w:marBottom w:val="0"/>
      <w:divBdr>
        <w:top w:val="none" w:sz="0" w:space="0" w:color="auto"/>
        <w:left w:val="none" w:sz="0" w:space="0" w:color="auto"/>
        <w:bottom w:val="none" w:sz="0" w:space="0" w:color="auto"/>
        <w:right w:val="none" w:sz="0" w:space="0" w:color="auto"/>
      </w:divBdr>
      <w:divsChild>
        <w:div w:id="1201628753">
          <w:marLeft w:val="3917"/>
          <w:marRight w:val="0"/>
          <w:marTop w:val="0"/>
          <w:marBottom w:val="0"/>
          <w:divBdr>
            <w:top w:val="none" w:sz="0" w:space="0" w:color="auto"/>
            <w:left w:val="none" w:sz="0" w:space="0" w:color="auto"/>
            <w:bottom w:val="none" w:sz="0" w:space="0" w:color="auto"/>
            <w:right w:val="none" w:sz="0" w:space="0" w:color="auto"/>
          </w:divBdr>
          <w:divsChild>
            <w:div w:id="1928340364">
              <w:marLeft w:val="0"/>
              <w:marRight w:val="0"/>
              <w:marTop w:val="900"/>
              <w:marBottom w:val="0"/>
              <w:divBdr>
                <w:top w:val="none" w:sz="0" w:space="0" w:color="auto"/>
                <w:left w:val="none" w:sz="0" w:space="0" w:color="auto"/>
                <w:bottom w:val="none" w:sz="0" w:space="0" w:color="auto"/>
                <w:right w:val="none" w:sz="0" w:space="0" w:color="auto"/>
              </w:divBdr>
            </w:div>
          </w:divsChild>
        </w:div>
        <w:div w:id="1051878170">
          <w:marLeft w:val="0"/>
          <w:marRight w:val="0"/>
          <w:marTop w:val="2250"/>
          <w:marBottom w:val="0"/>
          <w:divBdr>
            <w:top w:val="none" w:sz="0" w:space="0" w:color="auto"/>
            <w:left w:val="none" w:sz="0" w:space="0" w:color="auto"/>
            <w:bottom w:val="none" w:sz="0" w:space="0" w:color="auto"/>
            <w:right w:val="none" w:sz="0" w:space="0" w:color="auto"/>
          </w:divBdr>
          <w:divsChild>
            <w:div w:id="102505842">
              <w:marLeft w:val="3917"/>
              <w:marRight w:val="0"/>
              <w:marTop w:val="0"/>
              <w:marBottom w:val="0"/>
              <w:divBdr>
                <w:top w:val="none" w:sz="0" w:space="0" w:color="auto"/>
                <w:left w:val="none" w:sz="0" w:space="0" w:color="auto"/>
                <w:bottom w:val="none" w:sz="0" w:space="0" w:color="auto"/>
                <w:right w:val="none" w:sz="0" w:space="0" w:color="auto"/>
              </w:divBdr>
              <w:divsChild>
                <w:div w:id="13526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4884">
      <w:bodyDiv w:val="1"/>
      <w:marLeft w:val="0"/>
      <w:marRight w:val="0"/>
      <w:marTop w:val="0"/>
      <w:marBottom w:val="0"/>
      <w:divBdr>
        <w:top w:val="none" w:sz="0" w:space="0" w:color="auto"/>
        <w:left w:val="none" w:sz="0" w:space="0" w:color="auto"/>
        <w:bottom w:val="none" w:sz="0" w:space="0" w:color="auto"/>
        <w:right w:val="none" w:sz="0" w:space="0" w:color="auto"/>
      </w:divBdr>
    </w:div>
    <w:div w:id="1959220143">
      <w:bodyDiv w:val="1"/>
      <w:marLeft w:val="0"/>
      <w:marRight w:val="0"/>
      <w:marTop w:val="0"/>
      <w:marBottom w:val="0"/>
      <w:divBdr>
        <w:top w:val="none" w:sz="0" w:space="0" w:color="auto"/>
        <w:left w:val="none" w:sz="0" w:space="0" w:color="auto"/>
        <w:bottom w:val="none" w:sz="0" w:space="0" w:color="auto"/>
        <w:right w:val="none" w:sz="0" w:space="0" w:color="auto"/>
      </w:divBdr>
      <w:divsChild>
        <w:div w:id="1195926949">
          <w:marLeft w:val="0"/>
          <w:marRight w:val="0"/>
          <w:marTop w:val="0"/>
          <w:marBottom w:val="30"/>
          <w:divBdr>
            <w:top w:val="single" w:sz="6" w:space="3" w:color="D0D0D0"/>
            <w:left w:val="single" w:sz="6" w:space="3" w:color="D0D0D0"/>
            <w:bottom w:val="single" w:sz="6" w:space="3" w:color="D0D0D0"/>
            <w:right w:val="single" w:sz="6" w:space="3" w:color="D0D0D0"/>
          </w:divBdr>
        </w:div>
        <w:div w:id="264193956">
          <w:marLeft w:val="0"/>
          <w:marRight w:val="0"/>
          <w:marTop w:val="0"/>
          <w:marBottom w:val="3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047F26-BA6E-439F-B0FC-396DD2A7F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1992</Words>
  <Characters>11360</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13326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elena scala</cp:lastModifiedBy>
  <cp:revision>2</cp:revision>
  <cp:lastPrinted>2020-10-29T16:25:00Z</cp:lastPrinted>
  <dcterms:created xsi:type="dcterms:W3CDTF">2020-11-13T19:16:00Z</dcterms:created>
  <dcterms:modified xsi:type="dcterms:W3CDTF">2020-11-13T19:16:00Z</dcterms:modified>
</cp:coreProperties>
</file>