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767" w:rsidRDefault="00152767" w:rsidP="00E5645A">
      <w:pPr>
        <w:spacing w:line="540" w:lineRule="atLeast"/>
        <w:jc w:val="center"/>
        <w:rPr>
          <w:rFonts w:ascii="Times New Roman" w:hAnsi="Times New Roman" w:cs="Times New Roman"/>
          <w:b/>
          <w:sz w:val="40"/>
          <w:szCs w:val="40"/>
        </w:rPr>
      </w:pPr>
      <w:bookmarkStart w:id="0" w:name="_GoBack"/>
      <w:bookmarkEnd w:id="0"/>
    </w:p>
    <w:p w:rsidR="00152767" w:rsidRDefault="00152767" w:rsidP="00152767">
      <w:pPr>
        <w:jc w:val="center"/>
        <w:rPr>
          <w:noProof/>
          <w:lang w:eastAsia="it-IT"/>
        </w:rPr>
      </w:pPr>
      <w:r>
        <w:rPr>
          <w:noProof/>
          <w:lang w:eastAsia="it-IT"/>
        </w:rPr>
        <w:drawing>
          <wp:inline distT="0" distB="0" distL="0" distR="0">
            <wp:extent cx="2362200" cy="1647825"/>
            <wp:effectExtent l="19050" t="0" r="0" b="0"/>
            <wp:docPr id="1"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8" cstate="print"/>
                    <a:srcRect/>
                    <a:stretch>
                      <a:fillRect/>
                    </a:stretch>
                  </pic:blipFill>
                  <pic:spPr bwMode="auto">
                    <a:xfrm>
                      <a:off x="0" y="0"/>
                      <a:ext cx="2379063" cy="1659588"/>
                    </a:xfrm>
                    <a:prstGeom prst="rect">
                      <a:avLst/>
                    </a:prstGeom>
                    <a:noFill/>
                    <a:ln w="9525">
                      <a:noFill/>
                      <a:miter lim="800000"/>
                      <a:headEnd/>
                      <a:tailEnd/>
                    </a:ln>
                  </pic:spPr>
                </pic:pic>
              </a:graphicData>
            </a:graphic>
          </wp:inline>
        </w:drawing>
      </w:r>
      <w:r w:rsidRPr="00EB6D16">
        <w:rPr>
          <w:noProof/>
          <w:lang w:eastAsia="it-IT"/>
        </w:rPr>
        <w:t xml:space="preserve"> </w:t>
      </w:r>
      <w:r>
        <w:rPr>
          <w:noProof/>
          <w:lang w:eastAsia="it-IT"/>
        </w:rPr>
        <w:t xml:space="preserve">            </w:t>
      </w:r>
    </w:p>
    <w:p w:rsidR="00152767" w:rsidRPr="00152767" w:rsidRDefault="00152767" w:rsidP="00152767">
      <w:pPr>
        <w:jc w:val="center"/>
        <w:rPr>
          <w:rFonts w:ascii="Times New Roman" w:hAnsi="Times New Roman" w:cs="Times New Roman"/>
          <w:sz w:val="40"/>
          <w:szCs w:val="40"/>
        </w:rPr>
      </w:pPr>
      <w:r>
        <w:rPr>
          <w:noProof/>
          <w:lang w:eastAsia="it-IT"/>
        </w:rPr>
        <w:t xml:space="preserve">     </w:t>
      </w:r>
      <w:r w:rsidRPr="00152767">
        <w:rPr>
          <w:rFonts w:ascii="Times New Roman" w:hAnsi="Times New Roman" w:cs="Times New Roman"/>
          <w:b/>
          <w:sz w:val="40"/>
          <w:szCs w:val="40"/>
        </w:rPr>
        <w:t>“GLI EFFETTI E LE CONS</w:t>
      </w:r>
      <w:r w:rsidR="00384A56">
        <w:rPr>
          <w:rFonts w:ascii="Times New Roman" w:hAnsi="Times New Roman" w:cs="Times New Roman"/>
          <w:b/>
          <w:sz w:val="40"/>
          <w:szCs w:val="40"/>
        </w:rPr>
        <w:t>E</w:t>
      </w:r>
      <w:r w:rsidRPr="00152767">
        <w:rPr>
          <w:rFonts w:ascii="Times New Roman" w:hAnsi="Times New Roman" w:cs="Times New Roman"/>
          <w:b/>
          <w:sz w:val="40"/>
          <w:szCs w:val="40"/>
        </w:rPr>
        <w:t>GUENZE DEL COVID - 19 SUL SISTEMA ECONOMICO GLOBALE”</w:t>
      </w:r>
    </w:p>
    <w:p w:rsidR="00152767" w:rsidRDefault="00152767" w:rsidP="00E5645A">
      <w:pPr>
        <w:spacing w:line="540" w:lineRule="atLeast"/>
        <w:jc w:val="center"/>
        <w:rPr>
          <w:rFonts w:ascii="Times New Roman" w:hAnsi="Times New Roman" w:cs="Times New Roman"/>
          <w:b/>
          <w:sz w:val="40"/>
          <w:szCs w:val="40"/>
        </w:rPr>
      </w:pPr>
      <w:r>
        <w:rPr>
          <w:rFonts w:ascii="Times New Roman" w:hAnsi="Times New Roman" w:cs="Times New Roman"/>
          <w:b/>
          <w:sz w:val="40"/>
          <w:szCs w:val="40"/>
        </w:rPr>
        <w:t>************************************************</w:t>
      </w:r>
    </w:p>
    <w:p w:rsidR="00E5645A" w:rsidRPr="00AE50D1" w:rsidRDefault="00E5645A" w:rsidP="00E5645A">
      <w:pPr>
        <w:pStyle w:val="Titolo4"/>
        <w:spacing w:before="0" w:after="0" w:line="540" w:lineRule="atLeast"/>
        <w:ind w:firstLine="0"/>
        <w:rPr>
          <w:sz w:val="36"/>
          <w:szCs w:val="36"/>
        </w:rPr>
      </w:pPr>
      <w:r>
        <w:rPr>
          <w:sz w:val="36"/>
          <w:szCs w:val="36"/>
        </w:rPr>
        <w:t xml:space="preserve">L’UNIONE EUROPEA CONTRO LA PANDEMIA DEL COVID-19 TRA SOLIDARIETA’ ED EMERGENZA SANITARIA </w:t>
      </w:r>
    </w:p>
    <w:p w:rsidR="00E5645A" w:rsidRPr="00800571" w:rsidRDefault="00E5645A" w:rsidP="00E5645A"/>
    <w:p w:rsidR="00E5645A" w:rsidRPr="00152767" w:rsidRDefault="00152767" w:rsidP="00E5645A">
      <w:pPr>
        <w:pStyle w:val="Titolo4"/>
        <w:spacing w:before="0" w:after="0" w:line="540" w:lineRule="atLeast"/>
        <w:ind w:firstLine="0"/>
        <w:rPr>
          <w:i/>
          <w:sz w:val="36"/>
          <w:szCs w:val="36"/>
          <w:u w:val="single"/>
        </w:rPr>
      </w:pPr>
      <w:r w:rsidRPr="00152767">
        <w:rPr>
          <w:i/>
          <w:sz w:val="36"/>
          <w:szCs w:val="36"/>
          <w:u w:val="single"/>
        </w:rPr>
        <w:t>1</w:t>
      </w:r>
      <w:r w:rsidR="00E5645A" w:rsidRPr="00152767">
        <w:rPr>
          <w:i/>
          <w:sz w:val="36"/>
          <w:szCs w:val="36"/>
          <w:u w:val="single"/>
        </w:rPr>
        <w:t>.1 Unità e solidarietà ai tempi del COVID 19</w:t>
      </w:r>
    </w:p>
    <w:p w:rsidR="00E5645A" w:rsidRPr="00152767" w:rsidRDefault="00E5645A" w:rsidP="00E5645A">
      <w:pPr>
        <w:rPr>
          <w:b/>
        </w:rPr>
      </w:pP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w:t>
      </w:r>
      <w:r w:rsidRPr="00A8033A">
        <w:rPr>
          <w:rFonts w:ascii="Times New Roman" w:hAnsi="Times New Roman" w:cs="Times New Roman"/>
          <w:sz w:val="28"/>
          <w:szCs w:val="28"/>
        </w:rPr>
        <w:t xml:space="preserve">La storia del mondo è anche la somma </w:t>
      </w:r>
      <w:r>
        <w:rPr>
          <w:rFonts w:ascii="Times New Roman" w:hAnsi="Times New Roman" w:cs="Times New Roman"/>
          <w:sz w:val="28"/>
          <w:szCs w:val="28"/>
        </w:rPr>
        <w:t xml:space="preserve">delle cose che avrebbero potuto essere evitate”. La Presidente della Commissione europea, Ursula Von der Leyen nel suo discorso del 26 Marzo 2020 al Parlamento Europeo riunito in sessione plenaria, ha chiosato con queste enigmatiche parole di Konrad Adenauer, padre fondatore tedesco dell’Unione Europea.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La presidente Von Der Layen ha quindi terminato con una chiara esortazione di unità e solidarietà agli Stati Membri: “La storia ci guarda. Cerchiamo di fare insieme quello che è giusto con un unico cuore grande e non con 27 piccoli”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La tutela della salute pubblica ha messo l’Unione Europea di fronte alla sua prova più ardua come ente sovranazionale, anche se quest’ultima rientra nel novero delle materie per cui gli Stati Membri sono sempre stati riluttanti a cedere la propria sovranità.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Tale assetto, infatti, non ha permesso una risposta tempestiva ed univoca da parte dell’Unione Europea volta alla  chiusura elle frontiere di SCHENGEN prima dell’escalation dell’epidemia del virus COVID-19 nel territorio degli Stati Membri.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Una risposta che sarebbe stata auspicabile per evitare interventi diversificati, intempestivi e non coordinati.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Ciò non di meno, le disposizioni in materia di sanità pubblica rappresentano una base giuridica importante per gli interventi in atto per arginare la crisi attraverso l’utilizzo degli strumenti  emergenziali su più fronti dei quali l’Unione Europea dispone.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Ai sensi dell’art. 6 del trattato sul funzionamento dell’Unione Europea, l’Unione detiene una competenza di sostegno nell’ambito della tutela e miglioramento della salute umana. L’unione può dunque solamente sostenere, coordinare o completare l’azione dei paesi in campo europeo.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Gli atti dell’Unione Europea, giuridicamente vincolanti (pacta sunt servanda) adottati sulla base di competenze di sostegno, non possono comportare l’armonizzazione delle leggi o dei regolamenti degli Stati Membri.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Di particolare rilevanza è l’art. 168 che, oltre a rappresentare la base giuridica per gli interventi emergenziali pone un principio generale di particolare importanza in materia sanitaria prevedendo che nella definizione e nell’attuazione di tutte le politiche e attività dell’Unione Europea deve essere garantito un livello elevato di protezione della salute nel rispetto del principio di precauzione.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Il risultato è, che pur puntando su  un sistema sanitario coordinato a livello dell’Unione Europea, possiamo parlare di una politica europea comune che passa attraverso </w:t>
      </w:r>
      <w:r>
        <w:rPr>
          <w:rFonts w:ascii="Times New Roman" w:hAnsi="Times New Roman" w:cs="Times New Roman"/>
          <w:sz w:val="28"/>
          <w:szCs w:val="28"/>
        </w:rPr>
        <w:lastRenderedPageBreak/>
        <w:t>meccanismi e competenze diverse tra le quali anche quelle legate alla tutela del mercato interno e delle politiche fiscali che forniscono la possibilità all’Unione Europea di  intervenire nella  modalità operativa che ad oggi si è dimostrata più consona alla propria conformazione che è quella di un ruolo di regolatore.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Nonostante le carenze sotto il profilo di intervento diretto in materia di sanità pubblica, l’Unione Europea non manca di strumenti emergenziali.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Infatti la pandemia di COVID-19 non rappresenta la prima crisi ad essere fronteggiata a livello  dell’Unione Europea, dalla caduta delle torri gemelle del 2011, all’epidemia di SARS nel 2003, passando per la crisi dei debiti sovrani del 2008 e per finire con gli attentati terroristici dell’ISIS in Europa del 2016.</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Ognuna di queste fasi drammatiche ha indotto l’UE ad assumere strumenti adeguati per la risoluzione di crisi future. In primo luogo su un piano preventivo, il meccanismo europeo di protezione civile introdotto con la decisione n. 1313 del 2013 adottata sulla base dell’articolo 196 del trattato sul funzionamento dell’Unione Europea che stabilisce una competenza concorrente in capo all’Unione Europea al fine di sostenere e completare l’azione degli Stati Membri non solo a livello nazionale ma anche a livello regionale e locale concernente la prevenzione dei rischi e l’intervento in caso di calamità naturali.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Sulla base di tale meccanismo il 19 marzo 2020 la Commissione Europea ha deciso di creare una scorta strategica, ossia una riserva europea comune, di attrezzature mediche di emergenza quali ventilatori polmonari, mascherine di protezione e forniture per laboratori per i paesi dell’Unione Europea che ne hanno bisogno.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Tale scorta è gestita da un centro di coordinamento della risposta alle emergenze, il cosiddetto “Emergency Response Coordination Centre” che gestisce la distribuzione della attrezzature per garantire che siano inviate dove si presentano le necessità.</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In secondo luogo, su un diverso piano, l’articolo 222 del trattato sul funzionamento dell’Unione Europea prevede una clausola di solidarietà in forza della quale l’Unione Europea è giuridicamente obbligata a supportare  qualsiasi stato membro che sia vittima di un attacco terroristico o di una calamità naturale nel caso in cui lo stato membro ne faccia richiesta.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La norma prevede che l’Unione mobilita tutti gli strumenti di cui dispone inclusi i mezzi militari messi a sua disposizione dagli Stati Membri per prestare assistenza a uno stato membro sul suo territorio su richiesta delle sue autorità politiche in caso di calamità naturale.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Sulla base di tale norma gli Stati Membri dell’Unione sono obbligati ad intervenire a supporto dello stato membro  che ne faccia richiesta adottando le misure più appropriate.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Infine la decisione n. 1082 del 2013 che introduce una disciplina in materia di grave minaccia alla salute, in materia di sorveglianza epidemiologica, monitoraggio, allarme rapido e lotta contro le gravi minacce per la salute a carattere transfrontaliero, compresa la pianificazione della preparazione e della risposta in relazione a tali attività allo scopo di coordinare e integrare le politiche nazionali.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La base giuridica è fornita dell’articolo 168 del trattato sul funzionamento dell’Unione Europea che stabilisce una serie di strumenti anche di tipo legislativo e di intervento con particolare riferimento a situazione di grave pericolo per la salute pubblica, i cosiddetti “grandi flagelli”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In particolare la norma concede un ampio margine di manovra alla Commissione Europea che, sempre in stretto contatto con gli Stati Membri, può assumere ogni iniziativa utile a promuovere detto coordinamento, in particolari in iniziative finalizzate alla definizione di orientamenti e indicatori, all’organizzazione di scambi </w:t>
      </w:r>
      <w:r>
        <w:rPr>
          <w:rFonts w:ascii="Times New Roman" w:hAnsi="Times New Roman" w:cs="Times New Roman"/>
          <w:sz w:val="28"/>
          <w:szCs w:val="28"/>
        </w:rPr>
        <w:lastRenderedPageBreak/>
        <w:t>delle migliori pratiche (best practices) e alla preparazione di elementi necessari per il controllo e la valutazione periodica.</w:t>
      </w: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Pr="00152767" w:rsidRDefault="00152767" w:rsidP="00E5645A">
      <w:pPr>
        <w:pStyle w:val="Titolo4"/>
        <w:spacing w:before="0" w:after="0" w:line="540" w:lineRule="atLeast"/>
        <w:ind w:firstLine="0"/>
        <w:rPr>
          <w:i/>
          <w:sz w:val="36"/>
          <w:szCs w:val="36"/>
          <w:u w:val="single"/>
        </w:rPr>
      </w:pPr>
      <w:r>
        <w:rPr>
          <w:i/>
          <w:sz w:val="36"/>
          <w:szCs w:val="36"/>
          <w:u w:val="single"/>
        </w:rPr>
        <w:lastRenderedPageBreak/>
        <w:t>1</w:t>
      </w:r>
      <w:r w:rsidR="00E5645A" w:rsidRPr="00152767">
        <w:rPr>
          <w:i/>
          <w:sz w:val="36"/>
          <w:szCs w:val="36"/>
          <w:u w:val="single"/>
        </w:rPr>
        <w:t>.2 Sviluppo dell’azione sociale europea</w:t>
      </w:r>
    </w:p>
    <w:p w:rsidR="00E5645A" w:rsidRPr="00152767" w:rsidRDefault="00E5645A" w:rsidP="00E5645A">
      <w:pPr>
        <w:rPr>
          <w:b/>
          <w:i/>
          <w:u w:val="single"/>
        </w:rPr>
      </w:pPr>
    </w:p>
    <w:p w:rsidR="00E5645A" w:rsidRDefault="00E5645A" w:rsidP="00E5645A">
      <w:pPr>
        <w:spacing w:line="540" w:lineRule="atLeast"/>
        <w:jc w:val="both"/>
        <w:rPr>
          <w:rFonts w:ascii="Times New Roman" w:hAnsi="Times New Roman" w:cs="Times New Roman"/>
          <w:sz w:val="28"/>
          <w:szCs w:val="28"/>
        </w:rPr>
      </w:pPr>
      <w:r w:rsidRPr="00E45CC6">
        <w:rPr>
          <w:rFonts w:ascii="Times New Roman" w:hAnsi="Times New Roman" w:cs="Times New Roman"/>
          <w:sz w:val="28"/>
          <w:szCs w:val="28"/>
        </w:rPr>
        <w:t xml:space="preserve">E’ noto a tutti come nel corso di questi </w:t>
      </w:r>
      <w:r>
        <w:rPr>
          <w:rFonts w:ascii="Times New Roman" w:hAnsi="Times New Roman" w:cs="Times New Roman"/>
          <w:sz w:val="28"/>
          <w:szCs w:val="28"/>
        </w:rPr>
        <w:t xml:space="preserve">ultimi anni si sia prodotta una trasformazione dei sistemi di WELFARE STATE  soprattutto a livello europeo, dovuta in particolare, al processo di globalizzazione economico e commerciale che ha creato, di fatto,  un unico mercato a livello mondiale con risvolti negativi sul versante occupazionale e sul sostentamento economico delle persone.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Alla sempre maggiore apertura del mercato delle merci e dei servizi  ha fatto seguito la graduale liberalizzazione del mercato dei capitali e dei servizi finanziari  sostenuta in larga parte dall’ampia diffusione delle nuove tecnologie della comunicazione e dell’informazione che più di ogni altro progresso scientifico e tecnologico, occorso in questi ultimi venti anni, ha permesso di abbattere le divisioni tra le diverse aree economiche aumentando, dal lato dell’offerta, in modo decisamente sensibile, la disponibilità di ogni tipo di bene e servizio.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Un fenomeno che ha impattato in modo rilevante su diversi aspetti della vita sociale degli individui ed, in particolare, su due fronti: sul modo di produrre e sul mercato del lavoro e dell’occupazione. In entrambi i casi l’abbattimento delle frontiere doganali tra gli stati ha permesso alle imprese di muoversi più facilmente in altre aree geografiche diverse da quelle di origine dove i costi di produzione risultano più convenienti, cosa che ha dato luogo alla nota vicenda della delocalizzazione della attività produttive.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Una vicenda che se legata alla pandemia di COVID – 19 richiede un utilizzo sinergico e congiunto degli strumenti a disposizione delle istituzioni dell’Unione con l’obiettivo di proteggere e allo stesso tempo sfruttare, a beneficio degli Stati Membri, tutte le competenze dell’Unione Europee in base a quanto sancito nei trattati fondativi.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Ed è per questo che diversi fondi strutturali preesistenti  sono stati negli ultimi giorni riadattati e modificati  al fine di rispondere alle diverse emergenze in maniera celere ed efficace.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Sulla base di tale meccanismo la Commissione Europea con decisione del 30 Marzo 2020 n. 461 ha esteso il Fondo di Solidarietà nell’ambito delle gravi emergenze in modo da fornire un efficace sostegno ad un paese membro.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A tale fondo di solidarietà, nelle ultime settimane, si è aggiunta la cosiddetta iniziativa SURE, acronimo dall’inglese “SUPPORT TO MITIGATE UNEMPLOYEMEN RISKS IN AN EMERGENCY” presentata come proposta di regolamento dalla Commissione Europea del 2 Aprile 2020 quale ulteriore strumento temporaneo per consentire all’Unione Europea di concedere assistenza finanziaria per un importo fino a 100 miliardi di euro in forma di prestiti dell’Unione Europea agli Stati Membri colpiti.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Lo strumento SURE verrà messo a disposizione degli Stati Membri che devono combattere le conseguenze economiche e sociali negative della pandemia integrando le misure nazionali e le sovvenzioni normalmente erogate per tali scopi nel quadro del Fondo Sociale Europeo.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Nello specifico lo strumento SURE fungerà da seconda linea di difesa per finanziarie i regimi di riduzione dell’orario lavorativo e misure analoghe aiutando gli Stati Membri a proteggere i posti di lavoro e a tutelare i dipendenti e i lavoratori autonomi dal rischio di disoccupazione e perdita di reddito.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 regimi di riduzione dell’orario lavorativo sono programmi pubblici che consentono alle imprese in difficoltà economiche di ridurre temporaneamente le ore lavorate, garantendo al contempo ai dipendenti un sostegno al reddito da parte dello Stato  per le ore non lavorate.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Oltre all’iniziativa SURE a tutela dei lavoratori, L’EUROGRUPPO ha individuato altri importanti strumenti finanziari con l’obiettivo di introdurre una maggiore flessibilità e fluidità nella gestione del bilancio europeo abbandonando i requisiti di co-finanziamento a livello nazionale e supportando i soggetti più vulnerabili.</w:t>
      </w: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E5645A" w:rsidRDefault="00E5645A" w:rsidP="00E5645A">
      <w:pPr>
        <w:spacing w:line="540" w:lineRule="atLeast"/>
        <w:jc w:val="both"/>
        <w:rPr>
          <w:rFonts w:ascii="Times New Roman" w:hAnsi="Times New Roman" w:cs="Times New Roman"/>
          <w:sz w:val="28"/>
          <w:szCs w:val="28"/>
        </w:rPr>
      </w:pPr>
    </w:p>
    <w:p w:rsidR="00E5645A" w:rsidRPr="00152767" w:rsidRDefault="00152767" w:rsidP="00E5645A">
      <w:pPr>
        <w:pStyle w:val="Titolo4"/>
        <w:spacing w:before="0" w:after="0" w:line="540" w:lineRule="atLeast"/>
        <w:ind w:firstLine="0"/>
        <w:rPr>
          <w:i/>
          <w:sz w:val="36"/>
          <w:szCs w:val="36"/>
          <w:u w:val="single"/>
        </w:rPr>
      </w:pPr>
      <w:r>
        <w:rPr>
          <w:i/>
          <w:sz w:val="36"/>
          <w:szCs w:val="36"/>
          <w:u w:val="single"/>
        </w:rPr>
        <w:lastRenderedPageBreak/>
        <w:t>1</w:t>
      </w:r>
      <w:r w:rsidR="00E5645A" w:rsidRPr="00152767">
        <w:rPr>
          <w:i/>
          <w:sz w:val="36"/>
          <w:szCs w:val="36"/>
          <w:u w:val="single"/>
        </w:rPr>
        <w:t xml:space="preserve">.3 Gli effetti dell’epidemia sull’economia europea </w:t>
      </w:r>
    </w:p>
    <w:p w:rsidR="00E5645A" w:rsidRDefault="00E5645A" w:rsidP="00E5645A"/>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Diversi scienziati europei di primo piano hanno consigliato ai governi un’uscita molto prudente dal confinamento  e continuano a farlo senza lasciarsi influenzare dalla scelte dei governi,  dalla pressioni del lobby economiche, dal desiderio diffuso di mettere tra parentesi il “lockdown”.</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Non perché siamo sicuri di una  seconda ondata COVID , non perché  disconoscono le esigenze dell’economia ma perché osservano il preservare della pandemia in Inghilterra, Svezia, Stati Uniti, America Latina o il suo riesplodere in Corea del Sud e perché temono l’estendersi di una persuasione paradossale: il virus è alle nostre spalle, la pandemia è odiosa ma ugualmente odiose sono le misure di cautela visto che hanno limitato e limitano troppo libertà.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La commissione Europea da parte sua ha intensificato l’impegno nella lotta all’epidemia e sta monitorando  attivamente le ripercussioni economiche del coronavirus negli Stati Membri e nel resto del mondo.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Le previsioni economiche della Commissione presentate il 13 Febbraio 2020, hanno già individuato nel Covid 19 un nuovo rischio di evoluzione negativa per l’economia europea.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La notevole incertezza in questa fase rende molto difficile prevedere l’impatto del virus sull’Europa. Data l’incertezza in merito all’entità ed alla durata delle crisi non si è ancora in grado  di valutare gli effetti dell’epidemia sull’economia.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Dalle prime stime operate dalla Commissione si potrebbe avere una contrazione del PIL (Prodotto Interno Lordo)  dell’1% nell’Unione Europea nel 2020, ma in caso di crisi prolungata il calo dell’attività economica nel 2020 potrebbe essere paragonabile </w:t>
      </w:r>
      <w:r>
        <w:rPr>
          <w:rFonts w:ascii="Times New Roman" w:hAnsi="Times New Roman" w:cs="Times New Roman"/>
          <w:sz w:val="28"/>
          <w:szCs w:val="28"/>
        </w:rPr>
        <w:lastRenderedPageBreak/>
        <w:t>alla contrazione registrata nel 2009, l’anno peggiore della crisi economica e finanziaria.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Per attenuare gli effetti della crisi la Commissione in primis ha adottato i seguenti provvedimenti:</w:t>
      </w:r>
    </w:p>
    <w:p w:rsidR="00E5645A" w:rsidRDefault="00E5645A" w:rsidP="00E5645A">
      <w:pPr>
        <w:pStyle w:val="Paragrafoelenco"/>
        <w:numPr>
          <w:ilvl w:val="0"/>
          <w:numId w:val="2"/>
        </w:numPr>
        <w:spacing w:line="540" w:lineRule="atLeast"/>
        <w:jc w:val="both"/>
        <w:rPr>
          <w:rFonts w:ascii="Times New Roman" w:hAnsi="Times New Roman" w:cs="Times New Roman"/>
          <w:sz w:val="28"/>
          <w:szCs w:val="28"/>
        </w:rPr>
      </w:pPr>
      <w:r>
        <w:rPr>
          <w:rFonts w:ascii="Times New Roman" w:hAnsi="Times New Roman" w:cs="Times New Roman"/>
          <w:sz w:val="28"/>
          <w:szCs w:val="28"/>
        </w:rPr>
        <w:t>– il 13 Marzo 2020 ha programmato una risposta economica globale all’epidemia;</w:t>
      </w:r>
    </w:p>
    <w:p w:rsidR="00E5645A" w:rsidRDefault="00E5645A" w:rsidP="00E5645A">
      <w:pPr>
        <w:pStyle w:val="Paragrafoelenco"/>
        <w:numPr>
          <w:ilvl w:val="0"/>
          <w:numId w:val="2"/>
        </w:numPr>
        <w:spacing w:line="540" w:lineRule="atLeast"/>
        <w:jc w:val="both"/>
        <w:rPr>
          <w:rFonts w:ascii="Times New Roman" w:hAnsi="Times New Roman" w:cs="Times New Roman"/>
          <w:sz w:val="28"/>
          <w:szCs w:val="28"/>
        </w:rPr>
      </w:pPr>
      <w:r>
        <w:rPr>
          <w:rFonts w:ascii="Times New Roman" w:hAnsi="Times New Roman" w:cs="Times New Roman"/>
          <w:sz w:val="28"/>
          <w:szCs w:val="28"/>
        </w:rPr>
        <w:t>– il 19 marzo 2020 ha predisposto un quadro temporaneo per gli aiuti di Stato;</w:t>
      </w:r>
    </w:p>
    <w:p w:rsidR="00E5645A" w:rsidRDefault="00E5645A" w:rsidP="00E5645A">
      <w:pPr>
        <w:pStyle w:val="Paragrafoelenco"/>
        <w:numPr>
          <w:ilvl w:val="0"/>
          <w:numId w:val="2"/>
        </w:numPr>
        <w:spacing w:line="540" w:lineRule="atLeast"/>
        <w:jc w:val="both"/>
        <w:rPr>
          <w:rFonts w:ascii="Times New Roman" w:hAnsi="Times New Roman" w:cs="Times New Roman"/>
          <w:sz w:val="28"/>
          <w:szCs w:val="28"/>
        </w:rPr>
      </w:pPr>
      <w:r>
        <w:rPr>
          <w:rFonts w:ascii="Times New Roman" w:hAnsi="Times New Roman" w:cs="Times New Roman"/>
          <w:sz w:val="28"/>
          <w:szCs w:val="28"/>
        </w:rPr>
        <w:t>– il 20 Marzo ha proposto di attivare la clausola di salvaguardia del Patto di Stabilità;</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Il 2 Aprile 2020 , la Commissione ha avanzato altre diverse proposte al fine di mobilitare ulteriori fondi da destinare a mitigare e contrastare gli effetti dell’emergenza.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Le principali misure di contrasto all’epidemia messe in atto dalla Commissione Europea costituiscono veri e propri strumenti straordinari di interventi massivi a sostegno  delle condizioni economiche degli Stati Membri  sostanziandosi, pertanto,  nella definizione del seguente quadro di iniziative:</w:t>
      </w:r>
    </w:p>
    <w:p w:rsidR="00E5645A" w:rsidRPr="008D761E" w:rsidRDefault="00E5645A" w:rsidP="00E5645A">
      <w:pPr>
        <w:pStyle w:val="Paragrafoelenco"/>
        <w:spacing w:line="540" w:lineRule="atLeast"/>
        <w:ind w:left="0"/>
        <w:jc w:val="both"/>
        <w:rPr>
          <w:rFonts w:ascii="Times New Roman" w:hAnsi="Times New Roman" w:cs="Times New Roman"/>
          <w:sz w:val="28"/>
          <w:szCs w:val="28"/>
          <w:u w:val="single"/>
          <w:lang w:val="en-US"/>
        </w:rPr>
      </w:pPr>
      <w:r w:rsidRPr="008D761E">
        <w:rPr>
          <w:rFonts w:ascii="Times New Roman" w:hAnsi="Times New Roman" w:cs="Times New Roman"/>
          <w:b/>
          <w:sz w:val="28"/>
          <w:szCs w:val="28"/>
          <w:u w:val="single"/>
          <w:lang w:val="en-US"/>
        </w:rPr>
        <w:t>SURE</w:t>
      </w:r>
      <w:r w:rsidRPr="008D761E">
        <w:rPr>
          <w:rFonts w:ascii="Times New Roman" w:hAnsi="Times New Roman" w:cs="Times New Roman"/>
          <w:sz w:val="28"/>
          <w:szCs w:val="28"/>
          <w:u w:val="single"/>
          <w:lang w:val="en-US"/>
        </w:rPr>
        <w:t xml:space="preserve"> (</w:t>
      </w:r>
      <w:r w:rsidRPr="008D761E">
        <w:rPr>
          <w:rFonts w:ascii="Times New Roman" w:hAnsi="Times New Roman" w:cs="Times New Roman"/>
          <w:b/>
          <w:sz w:val="28"/>
          <w:szCs w:val="28"/>
          <w:u w:val="single"/>
          <w:lang w:val="en-US"/>
        </w:rPr>
        <w:t>SUPPORT TO MITIGATE UNEMPLOYMENT RISKS IN AN EMERGENCY</w:t>
      </w:r>
      <w:r w:rsidRPr="008D761E">
        <w:rPr>
          <w:rFonts w:ascii="Times New Roman" w:hAnsi="Times New Roman" w:cs="Times New Roman"/>
          <w:sz w:val="28"/>
          <w:szCs w:val="28"/>
          <w:u w:val="single"/>
          <w:lang w:val="en-US"/>
        </w:rPr>
        <w:t xml:space="preserv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Questa misura  riguarda la costituzione di un fondo di solidarietà pari a 100 miliardi di euro per finanziare regimi di cassa integrazione e misure analoghe riferite a lavoratori dipendenti e lavoratori autonomi. Una misura temporanea ed eccezionale che gli Stati Membri possono richiedere fino al 100% (senza obbligo di cofinanziamento) tra il 1 Luglio 2020 e il 30 Giugno 2021 per affrontare ed arginare l’impatto della pandemia sulle situazioni occupazionali.</w:t>
      </w:r>
    </w:p>
    <w:p w:rsidR="00E5645A" w:rsidRPr="007F4DD7" w:rsidRDefault="00E5645A" w:rsidP="00E5645A">
      <w:pPr>
        <w:pStyle w:val="Paragrafoelenco"/>
        <w:spacing w:line="540" w:lineRule="atLeast"/>
        <w:ind w:left="0"/>
        <w:jc w:val="both"/>
        <w:rPr>
          <w:rFonts w:ascii="Times New Roman" w:hAnsi="Times New Roman" w:cs="Times New Roman"/>
          <w:sz w:val="28"/>
          <w:szCs w:val="28"/>
          <w:u w:val="single"/>
        </w:rPr>
      </w:pPr>
      <w:r w:rsidRPr="007F4DD7">
        <w:rPr>
          <w:rFonts w:ascii="Times New Roman" w:hAnsi="Times New Roman" w:cs="Times New Roman"/>
          <w:b/>
          <w:sz w:val="28"/>
          <w:szCs w:val="28"/>
          <w:u w:val="single"/>
        </w:rPr>
        <w:t xml:space="preserve">FEIS </w:t>
      </w:r>
      <w:r w:rsidRPr="007F4DD7">
        <w:rPr>
          <w:rFonts w:ascii="Times New Roman" w:hAnsi="Times New Roman" w:cs="Times New Roman"/>
          <w:sz w:val="28"/>
          <w:szCs w:val="28"/>
          <w:u w:val="single"/>
        </w:rPr>
        <w:t>(</w:t>
      </w:r>
      <w:r w:rsidRPr="007F4DD7">
        <w:rPr>
          <w:rFonts w:ascii="Times New Roman" w:hAnsi="Times New Roman" w:cs="Times New Roman"/>
          <w:b/>
          <w:sz w:val="28"/>
          <w:szCs w:val="28"/>
          <w:u w:val="single"/>
        </w:rPr>
        <w:t>FONDO EUROPEO PER GLI INTERVENTI STRATEGICI</w:t>
      </w:r>
      <w:r w:rsidRPr="007F4DD7">
        <w:rPr>
          <w:rFonts w:ascii="Times New Roman" w:hAnsi="Times New Roman" w:cs="Times New Roman"/>
          <w:sz w:val="28"/>
          <w:szCs w:val="28"/>
          <w:u w:val="single"/>
        </w:rPr>
        <w:t xml:space="preserv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La commissione Europea ha sbloccato 1 miliardo di euro dal Fondo Europeo per gli investimenti strategici a titolo di garanzia per il fondo europeo per gli investimenti (FEI); in questo modo il FEIS potrà fornire garanzie speciali per incentivare le banche e altri finanziatori e fornire liquidità per un importo disponibile in 8 miliardi di euro ad almeno centomila piccole e medie imprese colpite dalle conseguenze economiche della pandemia del CORONAVIRUS.</w:t>
      </w:r>
    </w:p>
    <w:p w:rsidR="00E5645A" w:rsidRDefault="00E5645A" w:rsidP="00E5645A">
      <w:pPr>
        <w:pStyle w:val="Paragrafoelenco"/>
        <w:spacing w:line="540" w:lineRule="atLeast"/>
        <w:ind w:left="0"/>
        <w:jc w:val="both"/>
        <w:rPr>
          <w:rFonts w:ascii="Times New Roman" w:hAnsi="Times New Roman" w:cs="Times New Roman"/>
          <w:sz w:val="28"/>
          <w:szCs w:val="28"/>
        </w:rPr>
      </w:pPr>
      <w:r w:rsidRPr="007F4DD7">
        <w:rPr>
          <w:rFonts w:ascii="Times New Roman" w:hAnsi="Times New Roman" w:cs="Times New Roman"/>
          <w:b/>
          <w:sz w:val="28"/>
          <w:szCs w:val="28"/>
          <w:u w:val="single"/>
        </w:rPr>
        <w:t>MOBILITA</w:t>
      </w:r>
      <w:r w:rsidRPr="007F4DD7">
        <w:rPr>
          <w:rFonts w:ascii="Times New Roman" w:hAnsi="Times New Roman" w:cs="Times New Roman"/>
          <w:sz w:val="28"/>
          <w:szCs w:val="28"/>
          <w:u w:val="single"/>
        </w:rPr>
        <w:t>’.</w:t>
      </w:r>
      <w:r>
        <w:rPr>
          <w:rFonts w:ascii="Times New Roman" w:hAnsi="Times New Roman" w:cs="Times New Roman"/>
          <w:sz w:val="28"/>
          <w:szCs w:val="28"/>
        </w:rPr>
        <w:t xml:space="preserv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 pandemia di COVID 19 ha avuto un forte impatto sulla mobilità e sui trasporti transfrontalieri europei data la stretta connessione delle catene di approvvigionamento europee. Le misure introdotte a livello degli Stati Membri per rallentare la diffusione del virus hanno, talvolta, rallentato e paralizzato il trasporto.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 Commissione ha quindi adottato misure su più fronti per garantire che le catene di approvvigionamento a livello dell’UE continuassero a funzionare.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Per ovviare a tale criticità il 16 marzo 2020 la Commissione europea ha emanato il documento “COVID-19” per fornire orientamenti per un approccio integrato alla gestione efficace delle frontiere per proteggere la salute e preservando, al contempo, l’integrità del mercato unico.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Il 23 Marzo 2020 la Commissione Europea ha pubblicato ulteriori linee guida sulle modalità di gestione delle frontiere in modo da consentire il trasporto delle merci in tutta l’Unione Europea.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Gli  Stati Membri sono stati invitati a designare valichi di frontiera preferenziali e sono stati esortati a sospendere temporaneamente tutte le restrizioni all’accesso alla rete stradale sul proprio territorio.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 valichi di frontiera di tipo preferenziale avrebbero dovuto essere aperti a tutti i veicoli merci a prescindere dalla merci trasportate prevedendo anche una tempistica di controllo alla frontiere contenuti in un “range” di 15 minuti.</w:t>
      </w: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r w:rsidRPr="007F4DD7">
        <w:rPr>
          <w:rFonts w:ascii="Times New Roman" w:hAnsi="Times New Roman" w:cs="Times New Roman"/>
          <w:b/>
          <w:sz w:val="28"/>
          <w:szCs w:val="28"/>
          <w:u w:val="single"/>
        </w:rPr>
        <w:lastRenderedPageBreak/>
        <w:t>INCREMENTO PRODUZIONE APPARECCHIATURE E MATERIALI MEDICI</w:t>
      </w:r>
      <w:r w:rsidRPr="007F4DD7">
        <w:rPr>
          <w:rFonts w:ascii="Times New Roman" w:hAnsi="Times New Roman" w:cs="Times New Roman"/>
          <w:b/>
          <w:sz w:val="28"/>
          <w:szCs w:val="28"/>
        </w:rPr>
        <w:t>.</w:t>
      </w:r>
      <w:r>
        <w:rPr>
          <w:rFonts w:ascii="Times New Roman" w:hAnsi="Times New Roman" w:cs="Times New Roman"/>
          <w:sz w:val="28"/>
          <w:szCs w:val="28"/>
        </w:rPr>
        <w:t xml:space="preserv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 Commissione ha inteso mettere in atto una serie di guide per aiutare i fabbricanti a incrementare la produzione di apparecchiature mediche e materiali medici essenziali in tre settori:</w:t>
      </w:r>
    </w:p>
    <w:p w:rsidR="00E5645A" w:rsidRDefault="00E5645A" w:rsidP="00E5645A">
      <w:pPr>
        <w:pStyle w:val="Paragrafoelenco"/>
        <w:numPr>
          <w:ilvl w:val="0"/>
          <w:numId w:val="3"/>
        </w:numPr>
        <w:spacing w:line="540" w:lineRule="atLeast"/>
        <w:jc w:val="both"/>
        <w:rPr>
          <w:rFonts w:ascii="Times New Roman" w:hAnsi="Times New Roman" w:cs="Times New Roman"/>
          <w:sz w:val="28"/>
          <w:szCs w:val="28"/>
        </w:rPr>
      </w:pPr>
      <w:r w:rsidRPr="00506277">
        <w:rPr>
          <w:rFonts w:ascii="Times New Roman" w:hAnsi="Times New Roman" w:cs="Times New Roman"/>
          <w:sz w:val="28"/>
          <w:szCs w:val="28"/>
        </w:rPr>
        <w:t>Produzione di mascherine e altri dispositivi  di produzione individuale;</w:t>
      </w:r>
    </w:p>
    <w:p w:rsidR="00E5645A" w:rsidRDefault="00E5645A" w:rsidP="00E5645A">
      <w:pPr>
        <w:pStyle w:val="Paragrafoelenco"/>
        <w:numPr>
          <w:ilvl w:val="0"/>
          <w:numId w:val="3"/>
        </w:numPr>
        <w:spacing w:line="540" w:lineRule="atLeast"/>
        <w:jc w:val="both"/>
        <w:rPr>
          <w:rFonts w:ascii="Times New Roman" w:hAnsi="Times New Roman" w:cs="Times New Roman"/>
          <w:sz w:val="28"/>
          <w:szCs w:val="28"/>
        </w:rPr>
      </w:pPr>
      <w:r w:rsidRPr="00506277">
        <w:rPr>
          <w:rFonts w:ascii="Times New Roman" w:hAnsi="Times New Roman" w:cs="Times New Roman"/>
          <w:sz w:val="28"/>
          <w:szCs w:val="28"/>
        </w:rPr>
        <w:t>Detergenti senza risciacquo per le mani</w:t>
      </w:r>
      <w:r>
        <w:rPr>
          <w:rFonts w:ascii="Times New Roman" w:hAnsi="Times New Roman" w:cs="Times New Roman"/>
          <w:sz w:val="28"/>
          <w:szCs w:val="28"/>
        </w:rPr>
        <w:t xml:space="preserve"> e disinfettanti per le mani</w:t>
      </w:r>
    </w:p>
    <w:p w:rsidR="00E5645A" w:rsidRDefault="00E5645A" w:rsidP="00E5645A">
      <w:pPr>
        <w:pStyle w:val="Paragrafoelenco"/>
        <w:numPr>
          <w:ilvl w:val="0"/>
          <w:numId w:val="3"/>
        </w:numPr>
        <w:spacing w:line="540" w:lineRule="atLeast"/>
        <w:jc w:val="both"/>
        <w:rPr>
          <w:rFonts w:ascii="Times New Roman" w:hAnsi="Times New Roman" w:cs="Times New Roman"/>
          <w:sz w:val="28"/>
          <w:szCs w:val="28"/>
        </w:rPr>
      </w:pPr>
      <w:r>
        <w:rPr>
          <w:rFonts w:ascii="Times New Roman" w:hAnsi="Times New Roman" w:cs="Times New Roman"/>
          <w:sz w:val="28"/>
          <w:szCs w:val="28"/>
        </w:rPr>
        <w:t>Stampa in 3 D.</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Il tutto con l’obiettivo sia di aiutare i fabbricanti e le autorità di vigilanza a garantire che i prodotti risultassero conformi alle norme di sicurezza nonché per garantire l’efficacia stessa dei prodotti fabbricati.</w:t>
      </w:r>
    </w:p>
    <w:p w:rsidR="00E5645A" w:rsidRDefault="00E5645A" w:rsidP="00E5645A">
      <w:pPr>
        <w:pStyle w:val="Paragrafoelenco"/>
        <w:spacing w:line="540" w:lineRule="atLeast"/>
        <w:ind w:left="0"/>
        <w:jc w:val="both"/>
        <w:rPr>
          <w:rFonts w:ascii="Times New Roman" w:hAnsi="Times New Roman" w:cs="Times New Roman"/>
          <w:b/>
          <w:sz w:val="28"/>
          <w:szCs w:val="28"/>
          <w:u w:val="single"/>
        </w:rPr>
      </w:pPr>
      <w:r w:rsidRPr="007F4DD7">
        <w:rPr>
          <w:rFonts w:ascii="Times New Roman" w:hAnsi="Times New Roman" w:cs="Times New Roman"/>
          <w:b/>
          <w:sz w:val="28"/>
          <w:szCs w:val="28"/>
          <w:u w:val="single"/>
        </w:rPr>
        <w:t>STOP AL PATTO DI STABILITA’</w:t>
      </w:r>
    </w:p>
    <w:p w:rsidR="00E5645A" w:rsidRDefault="00E5645A" w:rsidP="00E5645A">
      <w:pPr>
        <w:pStyle w:val="Paragrafoelenco"/>
        <w:spacing w:line="540" w:lineRule="atLeast"/>
        <w:ind w:left="0"/>
        <w:jc w:val="both"/>
        <w:rPr>
          <w:rFonts w:ascii="Times New Roman" w:hAnsi="Times New Roman" w:cs="Times New Roman"/>
          <w:sz w:val="28"/>
          <w:szCs w:val="28"/>
        </w:rPr>
      </w:pPr>
      <w:r w:rsidRPr="007F4DD7">
        <w:rPr>
          <w:rFonts w:ascii="Times New Roman" w:hAnsi="Times New Roman" w:cs="Times New Roman"/>
          <w:sz w:val="28"/>
          <w:szCs w:val="28"/>
        </w:rPr>
        <w:t>Il 20 Marzo 2020 la Commissione Europea ha deciso di applicare, per la prima volta nella sua storia, la clausola di salvaguardia prevista dall’articolo 107 del trattati sul funzionamento dell’Unione Europea.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Questa clausola che si applica in casi di crisi economica particolarmente forte, sospende l’applicazione delle regole del Patto di Stabilità. La Presidente della Commissione Europea Ursula von der Leyer, annunciando tale  novità, innovativa e strategica per i governi degli Stati dell’UE, ha spiegato e sottolineato che con l’adozione di  questa iniziativa dalla indiscutibile e ineluttabile valenza sotto il profilo economico - finanziario </w:t>
      </w:r>
      <w:r w:rsidRPr="0021405F">
        <w:rPr>
          <w:rFonts w:ascii="Times New Roman" w:hAnsi="Times New Roman" w:cs="Times New Roman"/>
          <w:b/>
          <w:sz w:val="28"/>
          <w:szCs w:val="28"/>
          <w:u w:val="single"/>
        </w:rPr>
        <w:t>“ogni governo europeo può pompare nella sua economia tutto quello che occorre”.</w:t>
      </w:r>
      <w:r>
        <w:rPr>
          <w:rFonts w:ascii="Times New Roman" w:hAnsi="Times New Roman" w:cs="Times New Roman"/>
          <w:sz w:val="28"/>
          <w:szCs w:val="28"/>
        </w:rPr>
        <w:t xml:space="preserve"> Grazie all’applicazione di questa clausola, il Governo Italiano,  ha potuto approvare i due pacchetti di stimolo dell’economia  di marzo ed aprile 2020 per 50 miliardi di euro di spesa pubblica aggiuntiva senza temere di andare incontro ad una procedura di infrazione da parte di Bruxelles che in precedenti occasioni aveva, puntualmente minacciato, l’applicazione di tale procedura in danno dell’ITALIA per le scelte effettuate in sede di manovra economico-finanziaria.</w:t>
      </w:r>
    </w:p>
    <w:p w:rsidR="00E5645A" w:rsidRPr="0021405F" w:rsidRDefault="00E5645A" w:rsidP="00E5645A">
      <w:pPr>
        <w:pStyle w:val="Paragrafoelenco"/>
        <w:spacing w:line="540" w:lineRule="atLeast"/>
        <w:ind w:left="0"/>
        <w:jc w:val="both"/>
        <w:rPr>
          <w:rFonts w:ascii="Times New Roman" w:hAnsi="Times New Roman" w:cs="Times New Roman"/>
          <w:b/>
          <w:sz w:val="28"/>
          <w:szCs w:val="28"/>
          <w:u w:val="single"/>
        </w:rPr>
      </w:pPr>
      <w:r w:rsidRPr="0021405F">
        <w:rPr>
          <w:rFonts w:ascii="Times New Roman" w:hAnsi="Times New Roman" w:cs="Times New Roman"/>
          <w:b/>
          <w:sz w:val="28"/>
          <w:szCs w:val="28"/>
          <w:u w:val="single"/>
        </w:rPr>
        <w:lastRenderedPageBreak/>
        <w:t>MES (MECCANISMO EUROPEO DI STABILITA’)</w:t>
      </w:r>
    </w:p>
    <w:p w:rsidR="00E5645A" w:rsidRDefault="00E5645A" w:rsidP="00E5645A">
      <w:pPr>
        <w:pStyle w:val="Paragrafoelenco"/>
        <w:spacing w:after="0" w:line="540" w:lineRule="atLeast"/>
        <w:ind w:left="0"/>
        <w:jc w:val="both"/>
        <w:rPr>
          <w:rFonts w:ascii="Arial" w:hAnsi="Arial" w:cs="Arial"/>
          <w:color w:val="333333"/>
        </w:rPr>
      </w:pPr>
      <w:r>
        <w:rPr>
          <w:rFonts w:ascii="Times New Roman" w:hAnsi="Times New Roman" w:cs="Times New Roman"/>
          <w:sz w:val="28"/>
          <w:szCs w:val="28"/>
        </w:rPr>
        <w:t xml:space="preserve">Tale istituto risulta istituito già dal 2011 in risposta alle crisi finanziarie che avevano colpito i diversi Paesi dell’Unione Europea ed è stato rimodulato a seguito della crisi generata dalla pandemia COVID-19. Invero con l’emergenza socio – sanitaria questo istituto è tornato in auge e costituisce uno dei temi centrali del dibattito politico ed economico dell’Unione Europea </w:t>
      </w:r>
      <w:r w:rsidRPr="003718B0">
        <w:rPr>
          <w:rFonts w:ascii="Times New Roman" w:hAnsi="Times New Roman" w:cs="Times New Roman"/>
          <w:sz w:val="28"/>
          <w:szCs w:val="28"/>
        </w:rPr>
        <w:t>. L’epidemia, poi tramutatasi in pandemia, ha messo con le spalle al muro l’economia italiana (e più in generale quella del mondo intero) e ha spinto a riflettere sui possibili aiuti di natura europea in arrivo.</w:t>
      </w:r>
    </w:p>
    <w:p w:rsidR="00E5645A" w:rsidRPr="003718B0"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18B0">
        <w:rPr>
          <w:rFonts w:eastAsiaTheme="minorEastAsia"/>
          <w:sz w:val="28"/>
          <w:szCs w:val="28"/>
        </w:rPr>
        <w:t>Le discussioni non sono mancate, soprattutto nell’Eurogruppo di aprile che ha concordato l’utilizzo dello strumento </w:t>
      </w:r>
      <w:hyperlink r:id="rId9" w:history="1">
        <w:r w:rsidRPr="003718B0">
          <w:rPr>
            <w:rFonts w:eastAsiaTheme="minorEastAsia"/>
            <w:sz w:val="28"/>
            <w:szCs w:val="28"/>
          </w:rPr>
          <w:t>senza condizioni</w:t>
        </w:r>
      </w:hyperlink>
      <w:r w:rsidRPr="003718B0">
        <w:rPr>
          <w:rFonts w:eastAsiaTheme="minorEastAsia"/>
          <w:sz w:val="28"/>
          <w:szCs w:val="28"/>
        </w:rPr>
        <w:t> accettato poi in sede di Consiglio europeo. Infine sono circolate anche voci sulla possibile introduzione di una </w:t>
      </w:r>
      <w:hyperlink r:id="rId10" w:history="1">
        <w:r w:rsidRPr="003718B0">
          <w:rPr>
            <w:rFonts w:eastAsiaTheme="minorEastAsia"/>
            <w:sz w:val="28"/>
            <w:szCs w:val="28"/>
          </w:rPr>
          <w:t>sorveglianza rafforzata di BCE e Commissione UE</w:t>
        </w:r>
      </w:hyperlink>
      <w:r w:rsidRPr="003718B0">
        <w:rPr>
          <w:rFonts w:eastAsiaTheme="minorEastAsia"/>
          <w:sz w:val="28"/>
          <w:szCs w:val="28"/>
        </w:rPr>
        <w:t> che hanno nuovamente portato a chiedersi cos’è il MES e perché è così chiacchierato, soprattutto in Italia.</w:t>
      </w:r>
    </w:p>
    <w:p w:rsidR="00E5645A" w:rsidRPr="003718B0"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18B0">
        <w:rPr>
          <w:rFonts w:eastAsiaTheme="minorEastAsia"/>
          <w:sz w:val="28"/>
          <w:szCs w:val="28"/>
        </w:rPr>
        <w:t>Nato nel 2012, a sostituzione del Fondo europeo di stabilità finanziaria e del Meccanismo europeo di stabilizzazione finanziaria, esso è di fatto il fondo monetario del Vecchio Continente, avente l’obiettivo di dare sostegno ai Paesi membri in caso di crisi e di probabile default.</w:t>
      </w:r>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18B0">
        <w:rPr>
          <w:rFonts w:eastAsiaTheme="minorEastAsia"/>
          <w:sz w:val="28"/>
          <w:szCs w:val="28"/>
        </w:rPr>
        <w:t>Ad oggi il Meccanismo Europeo di Stabilità ha “salvato” Cipro, Spagna e Grecia. L’Italia, dal canto suo, è una delle maggiori sostenitrici del fondo salva-Stati a livello economico. Più di noi, in base ai risultati del PIL del 2010, hanno contribuito solo Germania e Francia. Anche per questo è oggi più che mai utile capire cos’è il MES, come funziona davvero questo Meccanismo Europeo di Stabilità e perché in Italia sono esplose così tante polemiche, soprattutto in occasione della proposta di riforma del fondo salva-Stati.</w:t>
      </w:r>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t xml:space="preserve">Il Meccanismo Europeo di Stabilità è stato istituito grazie alle modifiche apportate al Trattato di Lisbona, ratificate dal Consiglio UE nel marzo del 2011. L’entrata in </w:t>
      </w:r>
      <w:r w:rsidRPr="00375675">
        <w:rPr>
          <w:rFonts w:eastAsiaTheme="minorEastAsia"/>
          <w:sz w:val="28"/>
          <w:szCs w:val="28"/>
        </w:rPr>
        <w:lastRenderedPageBreak/>
        <w:t>vigore del fondo salva-Stati, prevista inizialmente per il 2013, è stata anticipata al luglio del 2012 a causa di una crisi del debito sempre più pressante.</w:t>
      </w:r>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t>A chi si chiede cos’è il MES potremmo dunque rispondere definendolo un meccanismo volto a mantenere la stabilità finanziaria della zona euro. Esso è regolato dalla legislazione internazionale e, come organizzazione, ha una propria sede a Lussemburgo.</w:t>
      </w:r>
      <w:bookmarkStart w:id="1" w:name="funziona"/>
      <w:bookmarkEnd w:id="1"/>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t xml:space="preserve">Per garantire la tenuta del Vecchio continente, il fondo </w:t>
      </w:r>
      <w:r>
        <w:rPr>
          <w:rFonts w:eastAsiaTheme="minorEastAsia"/>
          <w:sz w:val="28"/>
          <w:szCs w:val="28"/>
        </w:rPr>
        <w:t>S</w:t>
      </w:r>
      <w:r w:rsidRPr="00375675">
        <w:rPr>
          <w:rFonts w:eastAsiaTheme="minorEastAsia"/>
          <w:sz w:val="28"/>
          <w:szCs w:val="28"/>
        </w:rPr>
        <w:t>alva - stati emette prestiti in conformità a condizioni piuttosto rigide e, in alcuni casi che saranno specificati nelle righe seguenti, può anche adottare atti sanzionatori.</w:t>
      </w:r>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t>I modi d’azione del fondo sono stati definiti dall’articolo 3 del suo trattato istitutivo.</w:t>
      </w:r>
    </w:p>
    <w:p w:rsidR="00E5645A"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t xml:space="preserve">L’organizzazione raccoglie fondi volti a sostenere gli Stati membri, ossia quelli che prima o dopo hanno adottato l’euro come moneta unica e che in un determinato periodo di tempo si trovano in forte difficoltà. </w:t>
      </w:r>
    </w:p>
    <w:p w:rsidR="00E5645A" w:rsidRPr="00375675"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Pr>
          <w:rFonts w:eastAsiaTheme="minorEastAsia"/>
          <w:sz w:val="28"/>
          <w:szCs w:val="28"/>
        </w:rPr>
        <w:t>I</w:t>
      </w:r>
      <w:r w:rsidRPr="00375675">
        <w:rPr>
          <w:rFonts w:eastAsiaTheme="minorEastAsia"/>
          <w:sz w:val="28"/>
          <w:szCs w:val="28"/>
        </w:rPr>
        <w:t xml:space="preserve">l MES </w:t>
      </w:r>
      <w:r>
        <w:rPr>
          <w:rFonts w:eastAsiaTheme="minorEastAsia"/>
          <w:sz w:val="28"/>
          <w:szCs w:val="28"/>
        </w:rPr>
        <w:t xml:space="preserve">si sviluppa </w:t>
      </w:r>
      <w:r w:rsidRPr="00375675">
        <w:rPr>
          <w:rFonts w:eastAsiaTheme="minorEastAsia"/>
          <w:sz w:val="28"/>
          <w:szCs w:val="28"/>
        </w:rPr>
        <w:t>in tre fasi distinte:</w:t>
      </w:r>
    </w:p>
    <w:p w:rsidR="00E5645A" w:rsidRPr="00375675" w:rsidRDefault="00E5645A" w:rsidP="00E5645A">
      <w:pPr>
        <w:pStyle w:val="NormaleWeb"/>
        <w:numPr>
          <w:ilvl w:val="0"/>
          <w:numId w:val="5"/>
        </w:numPr>
        <w:shd w:val="clear" w:color="auto" w:fill="FFFFFF"/>
        <w:spacing w:before="0" w:beforeAutospacing="0" w:after="0" w:afterAutospacing="0" w:line="540" w:lineRule="atLeast"/>
        <w:ind w:hanging="720"/>
        <w:jc w:val="both"/>
        <w:rPr>
          <w:rFonts w:eastAsiaTheme="minorEastAsia"/>
          <w:sz w:val="28"/>
          <w:szCs w:val="28"/>
        </w:rPr>
      </w:pPr>
      <w:r>
        <w:rPr>
          <w:rFonts w:eastAsiaTheme="minorEastAsia"/>
          <w:sz w:val="28"/>
          <w:szCs w:val="28"/>
        </w:rPr>
        <w:t xml:space="preserve">- </w:t>
      </w:r>
      <w:r w:rsidRPr="00375675">
        <w:rPr>
          <w:rFonts w:eastAsiaTheme="minorEastAsia"/>
          <w:sz w:val="28"/>
          <w:szCs w:val="28"/>
        </w:rPr>
        <w:t>Lo Stato in difficoltà avanza al Presidente del Consiglio dei governatori del fondo salva-Stati una richiesta di assistenza.</w:t>
      </w:r>
    </w:p>
    <w:p w:rsidR="00E5645A" w:rsidRDefault="00E5645A" w:rsidP="00E5645A">
      <w:pPr>
        <w:pStyle w:val="NormaleWeb"/>
        <w:numPr>
          <w:ilvl w:val="0"/>
          <w:numId w:val="5"/>
        </w:numPr>
        <w:shd w:val="clear" w:color="auto" w:fill="FFFFFF"/>
        <w:spacing w:before="0" w:beforeAutospacing="0" w:after="0" w:afterAutospacing="0" w:line="540" w:lineRule="atLeast"/>
        <w:ind w:hanging="720"/>
        <w:jc w:val="both"/>
        <w:rPr>
          <w:rFonts w:eastAsiaTheme="minorEastAsia"/>
          <w:sz w:val="28"/>
          <w:szCs w:val="28"/>
        </w:rPr>
      </w:pPr>
      <w:r w:rsidRPr="00375675">
        <w:rPr>
          <w:rFonts w:eastAsiaTheme="minorEastAsia"/>
          <w:sz w:val="28"/>
          <w:szCs w:val="28"/>
        </w:rPr>
        <w:t>-  Il MES chiede alla Commissione UE di valutare lo stato di salute del Paese in questione e di definire il suo fabbisogno finanziario. In questa fase l’esecutivo comunitario e la BCE (e se necessario il FMI) analizzano se la crisi di quello Stato può contagiare il resto dell’Eurozona.</w:t>
      </w:r>
    </w:p>
    <w:p w:rsidR="00E5645A" w:rsidRPr="00375675" w:rsidRDefault="00E5645A" w:rsidP="00E5645A">
      <w:pPr>
        <w:pStyle w:val="NormaleWeb"/>
        <w:numPr>
          <w:ilvl w:val="0"/>
          <w:numId w:val="5"/>
        </w:numPr>
        <w:shd w:val="clear" w:color="auto" w:fill="FFFFFF"/>
        <w:spacing w:before="0" w:beforeAutospacing="0" w:after="0" w:afterAutospacing="0" w:line="540" w:lineRule="atLeast"/>
        <w:ind w:hanging="720"/>
        <w:jc w:val="both"/>
        <w:rPr>
          <w:rFonts w:eastAsiaTheme="minorEastAsia"/>
          <w:sz w:val="28"/>
          <w:szCs w:val="28"/>
        </w:rPr>
      </w:pPr>
      <w:r w:rsidRPr="00375675">
        <w:rPr>
          <w:rFonts w:eastAsiaTheme="minorEastAsia"/>
          <w:sz w:val="28"/>
          <w:szCs w:val="28"/>
        </w:rPr>
        <w:t xml:space="preserve">- Dopo la valutazione, l’organo plenario del MES decide di agire e aiutare il Paese in difficoltà (il tutto più o meno nell’arco di 7 giorni dalla data di presentazione della richiesta formale di assistenza). </w:t>
      </w:r>
      <w:r>
        <w:rPr>
          <w:rFonts w:eastAsiaTheme="minorEastAsia"/>
          <w:sz w:val="28"/>
          <w:szCs w:val="28"/>
        </w:rPr>
        <w:t>L’aiuto si rende concreto a</w:t>
      </w:r>
      <w:r w:rsidRPr="00375675">
        <w:rPr>
          <w:rFonts w:eastAsiaTheme="minorEastAsia"/>
          <w:sz w:val="28"/>
          <w:szCs w:val="28"/>
        </w:rPr>
        <w:t xml:space="preserve">ttraverso </w:t>
      </w:r>
      <w:r>
        <w:rPr>
          <w:rFonts w:eastAsiaTheme="minorEastAsia"/>
          <w:sz w:val="28"/>
          <w:szCs w:val="28"/>
        </w:rPr>
        <w:t xml:space="preserve">la concessione di </w:t>
      </w:r>
      <w:r w:rsidRPr="00375675">
        <w:rPr>
          <w:rFonts w:eastAsiaTheme="minorEastAsia"/>
          <w:sz w:val="28"/>
          <w:szCs w:val="28"/>
        </w:rPr>
        <w:t>prestiti</w:t>
      </w:r>
      <w:r>
        <w:rPr>
          <w:rFonts w:eastAsiaTheme="minorEastAsia"/>
          <w:sz w:val="28"/>
          <w:szCs w:val="28"/>
        </w:rPr>
        <w:t xml:space="preserve">. </w:t>
      </w:r>
      <w:r>
        <w:rPr>
          <w:sz w:val="28"/>
          <w:szCs w:val="28"/>
        </w:rPr>
        <w:t>La durata del finanziamento potrebbe variare dai 7 ai 10 anni con tassi di interesse di poco superiori allo zero per cento (0%)</w:t>
      </w:r>
      <w:bookmarkStart w:id="2" w:name="gestisce"/>
      <w:bookmarkEnd w:id="2"/>
      <w:r>
        <w:rPr>
          <w:sz w:val="28"/>
          <w:szCs w:val="28"/>
        </w:rPr>
        <w:t>;</w:t>
      </w:r>
    </w:p>
    <w:p w:rsidR="00E5645A" w:rsidRPr="00375675"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375675">
        <w:rPr>
          <w:rFonts w:eastAsiaTheme="minorEastAsia"/>
          <w:sz w:val="28"/>
          <w:szCs w:val="28"/>
        </w:rPr>
        <w:lastRenderedPageBreak/>
        <w:t>Le decisioni del Consiglio vengono prese a maggioranza semplice o qualificata e godono di immunità giudiziaria. I diritti di voto sono proporzionali rispetto alla quota versata da ogni Stato.</w:t>
      </w:r>
    </w:p>
    <w:p w:rsidR="00E5645A" w:rsidRPr="000D4B42" w:rsidRDefault="00E5645A" w:rsidP="00E5645A">
      <w:pPr>
        <w:shd w:val="clear" w:color="auto" w:fill="FFFFFF"/>
        <w:tabs>
          <w:tab w:val="num" w:pos="0"/>
        </w:tabs>
        <w:spacing w:line="540" w:lineRule="atLeast"/>
        <w:jc w:val="both"/>
        <w:rPr>
          <w:rFonts w:ascii="Times New Roman" w:hAnsi="Times New Roman" w:cs="Times New Roman"/>
          <w:sz w:val="28"/>
          <w:szCs w:val="28"/>
        </w:rPr>
      </w:pPr>
      <w:r w:rsidRPr="000D4B42">
        <w:rPr>
          <w:rFonts w:ascii="Times New Roman" w:hAnsi="Times New Roman" w:cs="Times New Roman"/>
          <w:sz w:val="28"/>
          <w:szCs w:val="28"/>
        </w:rPr>
        <w:t>Il Meccanismo di Stabilità Europea viene gestito da un Consiglio dei Governatori costituito dai ministri delle finanze dell’Eurozona oltre che da un Consiglio di Amministrazione (nominato proprio dai Governatori).</w:t>
      </w:r>
      <w:r w:rsidRPr="000D4B42">
        <w:rPr>
          <w:rFonts w:ascii="Times New Roman" w:hAnsi="Times New Roman" w:cs="Times New Roman"/>
          <w:sz w:val="28"/>
          <w:szCs w:val="28"/>
        </w:rPr>
        <w:br/>
      </w:r>
      <w:bookmarkStart w:id="3" w:name="riforma"/>
      <w:bookmarkEnd w:id="3"/>
      <w:r w:rsidRPr="000D4B42">
        <w:rPr>
          <w:rFonts w:ascii="Times New Roman" w:hAnsi="Times New Roman" w:cs="Times New Roman"/>
          <w:sz w:val="28"/>
          <w:szCs w:val="28"/>
        </w:rPr>
        <w:t>Fanno parte del MES anche un Direttore Generale (che ha diritti di voto), il commissario europeo agli Affari economico-monetari e il Presidente della BCE, questi ultimi due come osservatori.</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Dal 2017 l’Europa ha aperto all’ipotesi di rivedere il trattato istitutivo ed è proprio questa eventualità che ha spianato la strada a un profondo dibattito in Italia. La riforma del Meccanismo Europeo di Stabilità ha richiesto ovviamente l’approvazione dei governi oltre che la ratifica parlamentare di ciascuno Stato.</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Le nuove condizioni per accedere al fondo salva-Stati previste dalla riforma sono state sin da subito giudicate aspre, tanto da rendere molto più difficile l’accesso al programma di aiuti.</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Sul tavolo delle discussioni le condizioni per poter attivare la </w:t>
      </w:r>
      <w:hyperlink r:id="rId11" w:tgtFrame="_blank" w:history="1">
        <w:r w:rsidRPr="000D4B42">
          <w:rPr>
            <w:rFonts w:eastAsiaTheme="minorEastAsia"/>
            <w:sz w:val="28"/>
            <w:szCs w:val="28"/>
          </w:rPr>
          <w:t>PCCL (Precautionary Conditioned Credit Line)</w:t>
        </w:r>
      </w:hyperlink>
      <w:r w:rsidRPr="000D4B42">
        <w:rPr>
          <w:rFonts w:eastAsiaTheme="minorEastAsia"/>
          <w:sz w:val="28"/>
          <w:szCs w:val="28"/>
        </w:rPr>
        <w:t>, un sistema di aiuto finanziario in caso di turbolenze all’interno del mercato del debito di un Paese appartenente all’Eurozona.</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Le condizioni più caratteristiche della riforma del MES sono state le seguenti le seguenti:</w:t>
      </w:r>
    </w:p>
    <w:p w:rsidR="00E5645A" w:rsidRPr="000D4B42" w:rsidRDefault="00E5645A" w:rsidP="00E5645A">
      <w:pPr>
        <w:numPr>
          <w:ilvl w:val="0"/>
          <w:numId w:val="4"/>
        </w:numPr>
        <w:shd w:val="clear" w:color="auto" w:fill="FFFFFF"/>
        <w:tabs>
          <w:tab w:val="clear" w:pos="720"/>
          <w:tab w:val="num" w:pos="0"/>
        </w:tabs>
        <w:spacing w:after="0" w:line="540" w:lineRule="atLeast"/>
        <w:ind w:left="0" w:firstLine="0"/>
        <w:jc w:val="both"/>
        <w:rPr>
          <w:rFonts w:ascii="Times New Roman" w:hAnsi="Times New Roman" w:cs="Times New Roman"/>
          <w:sz w:val="28"/>
          <w:szCs w:val="28"/>
        </w:rPr>
      </w:pPr>
      <w:r w:rsidRPr="000D4B42">
        <w:rPr>
          <w:rFonts w:ascii="Times New Roman" w:hAnsi="Times New Roman" w:cs="Times New Roman"/>
          <w:sz w:val="28"/>
          <w:szCs w:val="28"/>
        </w:rPr>
        <w:t>non essere in procedura d’infrazione;</w:t>
      </w:r>
      <w:bookmarkStart w:id="4" w:name="critiche"/>
      <w:bookmarkEnd w:id="4"/>
    </w:p>
    <w:p w:rsidR="00E5645A" w:rsidRPr="000D4B42" w:rsidRDefault="00E5645A" w:rsidP="00E5645A">
      <w:pPr>
        <w:numPr>
          <w:ilvl w:val="0"/>
          <w:numId w:val="4"/>
        </w:numPr>
        <w:shd w:val="clear" w:color="auto" w:fill="FFFFFF"/>
        <w:tabs>
          <w:tab w:val="clear" w:pos="720"/>
          <w:tab w:val="num" w:pos="0"/>
        </w:tabs>
        <w:spacing w:after="0" w:line="540" w:lineRule="atLeast"/>
        <w:ind w:left="0" w:firstLine="0"/>
        <w:jc w:val="both"/>
        <w:rPr>
          <w:rFonts w:ascii="Times New Roman" w:hAnsi="Times New Roman" w:cs="Times New Roman"/>
          <w:sz w:val="28"/>
          <w:szCs w:val="28"/>
        </w:rPr>
      </w:pPr>
      <w:r w:rsidRPr="000D4B42">
        <w:rPr>
          <w:rFonts w:ascii="Times New Roman" w:hAnsi="Times New Roman" w:cs="Times New Roman"/>
          <w:sz w:val="28"/>
          <w:szCs w:val="28"/>
        </w:rPr>
        <w:t>vantare un deficit inferiore al 3% da almeno due anni;</w:t>
      </w:r>
    </w:p>
    <w:p w:rsidR="00E5645A" w:rsidRPr="000D4B42" w:rsidRDefault="00E5645A" w:rsidP="00E5645A">
      <w:pPr>
        <w:numPr>
          <w:ilvl w:val="0"/>
          <w:numId w:val="4"/>
        </w:numPr>
        <w:shd w:val="clear" w:color="auto" w:fill="FFFFFF"/>
        <w:tabs>
          <w:tab w:val="clear" w:pos="720"/>
          <w:tab w:val="num" w:pos="0"/>
        </w:tabs>
        <w:spacing w:after="0" w:line="540" w:lineRule="atLeast"/>
        <w:ind w:left="0" w:firstLine="0"/>
        <w:jc w:val="both"/>
        <w:rPr>
          <w:rFonts w:ascii="Times New Roman" w:hAnsi="Times New Roman" w:cs="Times New Roman"/>
          <w:sz w:val="28"/>
          <w:szCs w:val="28"/>
        </w:rPr>
      </w:pPr>
      <w:r w:rsidRPr="000D4B42">
        <w:rPr>
          <w:rFonts w:ascii="Times New Roman" w:hAnsi="Times New Roman" w:cs="Times New Roman"/>
          <w:sz w:val="28"/>
          <w:szCs w:val="28"/>
        </w:rPr>
        <w:t>avere un rapporto debito/PIL sotto il 60% (o, almeno, aver sperimentato una riduzione di quest’ultimo di almeno 1/20 negli ultimi due anni, insieme ad un’altra serie di paletti non facilmente giudicabili a livello oggettivo.</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lastRenderedPageBreak/>
        <w:t>Dopo l’Eurogruppo del 17 marzo 2020, svoltosi nel mezzo dell’emergenza coronavirus, la riforma del MES è stata ufficialmente rimandata per dare priorità alla lotta alla pandemia.</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Per comprendere al meglio cos’è il MES non si può prescindere da una disamina delle critiche che sono state rivolte al fondo salva-Stati. Uno dei punti più dibattuti ha sempre riguardato il rinnovato potere della Banca Centrale Europea e, di conseguenza, le limitazioni imposte al settore bancario e ai governi nazionali.</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Non sono mancate inoltre critiche dalla Grecia: Varoufakis, ex ministro greco delle finanze, nel libro «Il Minotauro Globale» si è scagliato contro i meccanismi che fanno parte del Fondo.</w:t>
      </w:r>
    </w:p>
    <w:p w:rsidR="00E5645A"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La somma a garanzia fornita agli Stati in difficoltà viene suddivisa e composta dalle partecipazioni di ciascun membro non in difficoltà. In poche parole, parte dei soldi concessi alla Grecia sono stati corrisposti a capitali messi a disposizione in parte dalla Germania, in parte dall’Italia, dalla Francia e così via. Ma, dato che ogni Paese riesce a garantire un proprio status di affidabilità, alla quota versata da ciascuno viene riconosciuto un interesse diverso.</w:t>
      </w:r>
    </w:p>
    <w:p w:rsidR="00E5645A"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br/>
      </w:r>
      <w:bookmarkStart w:id="5" w:name="quote"/>
      <w:bookmarkEnd w:id="5"/>
      <w:r w:rsidRPr="000D4B42">
        <w:rPr>
          <w:rFonts w:eastAsiaTheme="minorEastAsia"/>
          <w:sz w:val="28"/>
          <w:szCs w:val="28"/>
        </w:rPr>
        <w:t>Ed è qui il pericolo: se uno degli Stati più «affidabili» dovesse trovarsi in difficoltà e aver bisogno del Meccanismo, la quantità dei fondi che non può più garantire si riverserebbe necessariamente sugli Stati più piccoli.</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Pr>
          <w:rFonts w:eastAsiaTheme="minorEastAsia"/>
          <w:sz w:val="28"/>
          <w:szCs w:val="28"/>
        </w:rPr>
        <w:t xml:space="preserve">In </w:t>
      </w:r>
      <w:r w:rsidRPr="000D4B42">
        <w:rPr>
          <w:rFonts w:eastAsiaTheme="minorEastAsia"/>
          <w:sz w:val="28"/>
          <w:szCs w:val="28"/>
        </w:rPr>
        <w:t>molti sono tornati a chiedersi cos’è il MES con l’arrivo del 2020, anno in cui il coronavirus ha messo con le spalle al muro l’economia europea e mondiale. L’UE ha iniziato a pensare alle possibili risposte a questa crisi e il fondo salva-Stati è tornato sul tavolo delle discussioni.</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Nell’Eurogruppo di aprile gli Stati membri hanno trovato un compromesso sul Meccanismo, compromesso successivamente approvato in sede di Consiglio europeo.</w:t>
      </w:r>
    </w:p>
    <w:p w:rsidR="00E5645A" w:rsidRPr="000D4B42"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lastRenderedPageBreak/>
        <w:t>In quell’occasione, si noti, l’Italia non ha attivato il MES: il Belpaese e i restanti colleghi dell’UE hanno concordato che se uno Stato avrà bisogno di aiuto per sostenere e finanziare le spese sanitarie legate al coronavirus potrà accedere al fondo senza condizioni. Spetterà poi al singolo Paese avanzare richiesta di aiuto e dunque attivare il Meccanismo in completa autonomia.</w:t>
      </w:r>
    </w:p>
    <w:p w:rsidR="00E5645A" w:rsidRDefault="00E5645A" w:rsidP="00E5645A">
      <w:pPr>
        <w:pStyle w:val="NormaleWeb"/>
        <w:shd w:val="clear" w:color="auto" w:fill="FFFFFF"/>
        <w:tabs>
          <w:tab w:val="num" w:pos="0"/>
        </w:tabs>
        <w:spacing w:before="0" w:beforeAutospacing="0" w:after="0" w:afterAutospacing="0" w:line="540" w:lineRule="atLeast"/>
        <w:jc w:val="both"/>
        <w:rPr>
          <w:rFonts w:eastAsiaTheme="minorEastAsia"/>
          <w:sz w:val="28"/>
          <w:szCs w:val="28"/>
        </w:rPr>
      </w:pPr>
      <w:r w:rsidRPr="000D4B42">
        <w:rPr>
          <w:rFonts w:eastAsiaTheme="minorEastAsia"/>
          <w:sz w:val="28"/>
          <w:szCs w:val="28"/>
        </w:rPr>
        <w:t xml:space="preserve">Alla luce delle polemiche esplose sul tema, capire a fondo cos’è il MES e come funziona il fondo salva-Stati risulta oggi più importante che mai. </w:t>
      </w:r>
    </w:p>
    <w:p w:rsidR="00152767" w:rsidRDefault="00152767" w:rsidP="00E5645A">
      <w:pPr>
        <w:pStyle w:val="Paragrafoelenco"/>
        <w:spacing w:line="540" w:lineRule="atLeast"/>
        <w:ind w:left="0"/>
        <w:jc w:val="both"/>
        <w:rPr>
          <w:rFonts w:ascii="Times New Roman" w:hAnsi="Times New Roman" w:cs="Times New Roman"/>
          <w:b/>
          <w:sz w:val="28"/>
          <w:szCs w:val="28"/>
          <w:u w:val="single"/>
        </w:rPr>
      </w:pPr>
    </w:p>
    <w:p w:rsidR="00152767" w:rsidRDefault="00152767" w:rsidP="00E5645A">
      <w:pPr>
        <w:pStyle w:val="Paragrafoelenco"/>
        <w:spacing w:line="540" w:lineRule="atLeast"/>
        <w:ind w:left="0"/>
        <w:jc w:val="both"/>
        <w:rPr>
          <w:rFonts w:ascii="Times New Roman" w:hAnsi="Times New Roman" w:cs="Times New Roman"/>
          <w:b/>
          <w:sz w:val="28"/>
          <w:szCs w:val="28"/>
          <w:u w:val="single"/>
        </w:rPr>
      </w:pPr>
    </w:p>
    <w:p w:rsidR="00E5645A" w:rsidRDefault="00E5645A" w:rsidP="00E5645A">
      <w:pPr>
        <w:pStyle w:val="Paragrafoelenco"/>
        <w:spacing w:line="540" w:lineRule="atLeast"/>
        <w:ind w:left="0"/>
        <w:jc w:val="both"/>
        <w:rPr>
          <w:rFonts w:ascii="Times New Roman" w:hAnsi="Times New Roman" w:cs="Times New Roman"/>
          <w:b/>
          <w:sz w:val="28"/>
          <w:szCs w:val="28"/>
          <w:u w:val="single"/>
        </w:rPr>
      </w:pPr>
      <w:r w:rsidRPr="000B4816">
        <w:rPr>
          <w:rFonts w:ascii="Times New Roman" w:hAnsi="Times New Roman" w:cs="Times New Roman"/>
          <w:b/>
          <w:sz w:val="28"/>
          <w:szCs w:val="28"/>
          <w:u w:val="single"/>
        </w:rPr>
        <w:t>RECOVERY FOUND</w:t>
      </w:r>
      <w:r>
        <w:rPr>
          <w:rFonts w:ascii="Times New Roman" w:hAnsi="Times New Roman" w:cs="Times New Roman"/>
          <w:b/>
          <w:sz w:val="28"/>
          <w:szCs w:val="28"/>
          <w:u w:val="single"/>
        </w:rPr>
        <w:t xml:space="preserve"> </w:t>
      </w:r>
    </w:p>
    <w:p w:rsidR="00E5645A" w:rsidRDefault="00E5645A" w:rsidP="00E5645A">
      <w:pPr>
        <w:pStyle w:val="Paragrafoelenco"/>
        <w:spacing w:line="540" w:lineRule="atLeast"/>
        <w:ind w:left="0"/>
        <w:jc w:val="both"/>
        <w:rPr>
          <w:rFonts w:ascii="Times New Roman" w:hAnsi="Times New Roman" w:cs="Times New Roman"/>
          <w:sz w:val="28"/>
          <w:szCs w:val="28"/>
        </w:rPr>
      </w:pPr>
      <w:r w:rsidRPr="000B4816">
        <w:rPr>
          <w:rFonts w:ascii="Times New Roman" w:hAnsi="Times New Roman" w:cs="Times New Roman"/>
          <w:sz w:val="28"/>
          <w:szCs w:val="28"/>
        </w:rPr>
        <w:t>Per rispondere alla crisi economica e sanitaria generata dal COVID 19</w:t>
      </w:r>
      <w:r>
        <w:rPr>
          <w:rFonts w:ascii="Times New Roman" w:hAnsi="Times New Roman" w:cs="Times New Roman"/>
          <w:sz w:val="28"/>
          <w:szCs w:val="28"/>
        </w:rPr>
        <w:t xml:space="preserve">, il 28 maggio 2020 la Commissione Europea ha presentato il “recovery found”, letteralmente “fondo di recupero”  una proposta che comporterebbe l’introduzione di un programma di sostegno all’economia degli Stati Membri dell’Unione Europea denominato NEW GENERATION EU, per un totale di 750 miliardi di euro. </w:t>
      </w:r>
    </w:p>
    <w:p w:rsidR="00E5645A" w:rsidRPr="00E063F1" w:rsidRDefault="00E5645A" w:rsidP="00E5645A">
      <w:pPr>
        <w:pStyle w:val="Paragrafoelenco"/>
        <w:spacing w:after="0" w:line="540" w:lineRule="atLeast"/>
        <w:ind w:left="0"/>
        <w:jc w:val="both"/>
        <w:rPr>
          <w:rFonts w:ascii="Times New Roman" w:hAnsi="Times New Roman" w:cs="Times New Roman"/>
          <w:sz w:val="28"/>
          <w:szCs w:val="28"/>
        </w:rPr>
      </w:pPr>
      <w:r w:rsidRPr="00E063F1">
        <w:rPr>
          <w:rFonts w:ascii="Times New Roman" w:hAnsi="Times New Roman" w:cs="Times New Roman"/>
          <w:sz w:val="28"/>
          <w:szCs w:val="28"/>
        </w:rPr>
        <w:t>E’ questo un intervento che costituisce un potente mezzo per sostenere l’economia del blocco e quella dei singoli Paesi più colpiti dalla crisi del coronavirus più volte richiesto dall’Italia con l’obiettivo di arginare l’impatto devastante del</w:t>
      </w:r>
      <w:r>
        <w:rPr>
          <w:rFonts w:ascii="Times New Roman" w:hAnsi="Times New Roman" w:cs="Times New Roman"/>
          <w:sz w:val="28"/>
          <w:szCs w:val="28"/>
        </w:rPr>
        <w:t>la pandemia</w:t>
      </w:r>
      <w:r w:rsidRPr="00E063F1">
        <w:rPr>
          <w:rFonts w:ascii="Times New Roman" w:hAnsi="Times New Roman" w:cs="Times New Roman"/>
          <w:sz w:val="28"/>
          <w:szCs w:val="28"/>
        </w:rPr>
        <w:t>.</w:t>
      </w:r>
    </w:p>
    <w:p w:rsidR="00E5645A" w:rsidRPr="00E063F1"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after="0" w:line="540" w:lineRule="atLeast"/>
        <w:ind w:left="0"/>
        <w:jc w:val="both"/>
        <w:rPr>
          <w:rFonts w:ascii="Times New Roman" w:hAnsi="Times New Roman" w:cs="Times New Roman"/>
          <w:sz w:val="28"/>
          <w:szCs w:val="28"/>
        </w:rPr>
      </w:pPr>
      <w:r>
        <w:rPr>
          <w:rFonts w:ascii="Times New Roman" w:hAnsi="Times New Roman" w:cs="Times New Roman"/>
          <w:sz w:val="28"/>
          <w:szCs w:val="28"/>
        </w:rPr>
        <w:t>Per tale finanziamento è prevista l’emissione di obbligazioni da parte dell’UE sui mercati finanziari. E’ la prima volta che si decide di mettere sul mercato ingenti quantità di debito garantito non dai singoli stati da dall’Unione Europea nel suo complesso ed è la prima volta che si comincia a pensare di poter finanziare parte di un’operazione cosi importante con tasse europee.</w:t>
      </w:r>
    </w:p>
    <w:p w:rsidR="00E5645A" w:rsidRPr="002B1FF7"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2B1FF7">
        <w:rPr>
          <w:rFonts w:eastAsiaTheme="minorEastAsia"/>
          <w:sz w:val="28"/>
          <w:szCs w:val="28"/>
        </w:rPr>
        <w:t>Inizialmente proposto ed elaborato dai francesi, il Recovery Fund non è altro che un fondo con il compito di emettere i Recovery Bond, con garanzia nel bilancio UE.</w:t>
      </w:r>
    </w:p>
    <w:p w:rsidR="00E5645A" w:rsidRPr="002B1FF7" w:rsidRDefault="00E5645A" w:rsidP="00E5645A">
      <w:pPr>
        <w:pStyle w:val="NormaleWeb"/>
        <w:shd w:val="clear" w:color="auto" w:fill="FFFFFF"/>
        <w:spacing w:before="0" w:beforeAutospacing="0" w:after="0" w:afterAutospacing="0" w:line="540" w:lineRule="atLeast"/>
        <w:jc w:val="both"/>
        <w:rPr>
          <w:rFonts w:eastAsiaTheme="minorEastAsia"/>
          <w:sz w:val="28"/>
          <w:szCs w:val="28"/>
        </w:rPr>
      </w:pPr>
      <w:r w:rsidRPr="002B1FF7">
        <w:rPr>
          <w:rFonts w:eastAsiaTheme="minorEastAsia"/>
          <w:sz w:val="28"/>
          <w:szCs w:val="28"/>
        </w:rPr>
        <w:lastRenderedPageBreak/>
        <w:t>In questo modo la condivisione del rischio sarebbe comune solo guardando al futuro, senza una vera mutualizzazione del debito passato. Al centro della questione, dunque, sempre titoli di debito, ma con questa “leggera” differenza</w:t>
      </w:r>
      <w:r>
        <w:rPr>
          <w:rFonts w:eastAsiaTheme="minorEastAsia"/>
          <w:sz w:val="28"/>
          <w:szCs w:val="28"/>
        </w:rPr>
        <w:t>: i</w:t>
      </w:r>
      <w:r w:rsidRPr="002B1FF7">
        <w:rPr>
          <w:rFonts w:eastAsiaTheme="minorEastAsia"/>
          <w:sz w:val="28"/>
          <w:szCs w:val="28"/>
        </w:rPr>
        <w:t>l finanziamento del fondo è stato progettato attraverso la raccolta di liquidità data d</w:t>
      </w:r>
      <w:r>
        <w:rPr>
          <w:rFonts w:eastAsiaTheme="minorEastAsia"/>
          <w:sz w:val="28"/>
          <w:szCs w:val="28"/>
        </w:rPr>
        <w:t>all’emissione dei Recovery Bond ribattezzati da alcuni Ursula bond ispirati dal nome della Presidente della Commissione Europea, Ursula von der Leyen</w:t>
      </w:r>
    </w:p>
    <w:p w:rsidR="00E5645A" w:rsidRDefault="00E5645A" w:rsidP="00E5645A">
      <w:pPr>
        <w:pStyle w:val="Paragrafoelenco"/>
        <w:spacing w:after="0" w:line="540" w:lineRule="atLeast"/>
        <w:ind w:left="0"/>
        <w:jc w:val="both"/>
        <w:rPr>
          <w:rFonts w:ascii="Times New Roman" w:hAnsi="Times New Roman" w:cs="Times New Roman"/>
          <w:sz w:val="28"/>
          <w:szCs w:val="28"/>
        </w:rPr>
      </w:pPr>
      <w:r>
        <w:rPr>
          <w:rFonts w:ascii="Times New Roman" w:hAnsi="Times New Roman" w:cs="Times New Roman"/>
          <w:sz w:val="28"/>
          <w:szCs w:val="28"/>
        </w:rPr>
        <w:t>Questo pacchetto costituisce la più recente manifestazione di quella che deve essere un impegno massiccio per proteggere le vite umane e i mezzi di sussistenza.  Grazie ad esso sarà possibile utilizzare al massimo il bilancio dell’UE di quest’anno.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Tuttavia, il bilancio settennale dell’Unione Europea giunge a scadenza e, allo stato,  non sembra sia  stato ancora raggiunto un accordo sul nuovo documento contabile.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Questo si verifica in un momento in cui l’Unione Europea ha bisogno di delineare un piano di ripresa per far si che la sua economia possa ripartire e che si suoi cittadini possano riprendere a lavorare non appena si potrà fare in sicurezza.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Questo piano ci aiuterà anche ad aumentare la nostra resilienza di fronte ad altre sfide che ci attendono.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Solo un bilancio a lungo termine che sia poderoso e flessibile ci consentirà di raggiungere gli obiettivi di ripresa economica in modo proficuo e rapido.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E’ ora di fare in modo di disporre di un bilancio dell’Unione Europea in grado di aiutare l’Europa nella sua declinazione di Stati Membri a risollevarsi e a restare saldamente unita rispetto soprattutto alle economie mondiale in “progress” come quelle dell’area asiatica e del nuovo mondo in senso letterale.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Le discussioni sul prossimo bilancio dovranno essere considerate in questi termine e rappresentare la forza motrice della ripresa in EUROPA.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Queste proposte dimostrano il reale valore di far parte di un’unione in cui chi può permettersi di più aiuta di chi bisogno attraverso un meccanismo di “sostegno </w:t>
      </w:r>
      <w:r>
        <w:rPr>
          <w:rFonts w:ascii="Times New Roman" w:hAnsi="Times New Roman" w:cs="Times New Roman"/>
          <w:sz w:val="28"/>
          <w:szCs w:val="28"/>
        </w:rPr>
        <w:lastRenderedPageBreak/>
        <w:t>solidale” che da ora in poi dev’essere un “must” se realmente si ha voglia di EUROPA e non di europeismo.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L’EUROPA per affrontare la crisi avrà bisogno sempre più di uno spirito di solidarietà e di investimenti enormi ed urgenti per far ripartire l’economia e garantire l’occupazione. Nel contempo l’Unione Europea continuerà a dimostrare responsabilità, solidarietà e leadership a livello mondiale.</w:t>
      </w:r>
    </w:p>
    <w:p w:rsidR="00E5645A" w:rsidRDefault="00E5645A" w:rsidP="00B15B15">
      <w:pPr>
        <w:spacing w:after="0" w:line="240" w:lineRule="auto"/>
        <w:jc w:val="center"/>
        <w:rPr>
          <w:rFonts w:ascii="Times New Roman" w:hAnsi="Times New Roman" w:cs="Times New Roman"/>
          <w:b/>
          <w:sz w:val="40"/>
          <w:szCs w:val="40"/>
        </w:rPr>
      </w:pPr>
    </w:p>
    <w:p w:rsidR="00B15B15" w:rsidRDefault="008D1780" w:rsidP="00B15B1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00B15B15">
        <w:rPr>
          <w:rFonts w:ascii="Times New Roman" w:hAnsi="Times New Roman" w:cs="Times New Roman"/>
          <w:b/>
          <w:sz w:val="40"/>
          <w:szCs w:val="40"/>
        </w:rPr>
        <w:t>Il Docente</w:t>
      </w:r>
    </w:p>
    <w:p w:rsidR="00B15B15" w:rsidRDefault="008D1780" w:rsidP="00B15B1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00B15B15">
        <w:rPr>
          <w:rFonts w:ascii="Times New Roman" w:hAnsi="Times New Roman" w:cs="Times New Roman"/>
          <w:b/>
          <w:sz w:val="40"/>
          <w:szCs w:val="40"/>
        </w:rPr>
        <w:t>Prof. Salvatore ALAIA</w:t>
      </w:r>
    </w:p>
    <w:p w:rsidR="00E5645A" w:rsidRDefault="00E5645A" w:rsidP="00E5645A">
      <w:pPr>
        <w:spacing w:line="540" w:lineRule="atLeast"/>
        <w:jc w:val="center"/>
        <w:rPr>
          <w:rFonts w:ascii="Times New Roman" w:hAnsi="Times New Roman" w:cs="Times New Roman"/>
          <w:b/>
          <w:sz w:val="40"/>
          <w:szCs w:val="40"/>
        </w:rPr>
      </w:pPr>
    </w:p>
    <w:p w:rsidR="00E5645A" w:rsidRDefault="00E5645A" w:rsidP="00E5645A">
      <w:pPr>
        <w:spacing w:line="540" w:lineRule="atLeast"/>
        <w:jc w:val="center"/>
        <w:rPr>
          <w:rFonts w:ascii="Times New Roman" w:hAnsi="Times New Roman" w:cs="Times New Roman"/>
          <w:b/>
          <w:sz w:val="40"/>
          <w:szCs w:val="40"/>
        </w:rPr>
      </w:pPr>
    </w:p>
    <w:p w:rsidR="00E5645A" w:rsidRDefault="00E5645A" w:rsidP="00E5645A">
      <w:pPr>
        <w:spacing w:line="540" w:lineRule="atLeast"/>
        <w:jc w:val="center"/>
        <w:rPr>
          <w:rFonts w:ascii="Times New Roman" w:hAnsi="Times New Roman" w:cs="Times New Roman"/>
          <w:b/>
          <w:sz w:val="40"/>
          <w:szCs w:val="40"/>
        </w:rPr>
      </w:pPr>
    </w:p>
    <w:sectPr w:rsidR="00E5645A" w:rsidSect="00152767">
      <w:footerReference w:type="default" r:id="rId12"/>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5E9" w:rsidRDefault="00AC65E9" w:rsidP="00E5645A">
      <w:pPr>
        <w:spacing w:after="0" w:line="240" w:lineRule="auto"/>
      </w:pPr>
      <w:r>
        <w:separator/>
      </w:r>
    </w:p>
  </w:endnote>
  <w:endnote w:type="continuationSeparator" w:id="0">
    <w:p w:rsidR="00AC65E9" w:rsidRDefault="00AC65E9" w:rsidP="00E5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311704174"/>
      <w:docPartObj>
        <w:docPartGallery w:val="Page Numbers (Bottom of Page)"/>
        <w:docPartUnique/>
      </w:docPartObj>
    </w:sdtPr>
    <w:sdtEndPr/>
    <w:sdtContent>
      <w:sdt>
        <w:sdtPr>
          <w:rPr>
            <w:rFonts w:asciiTheme="majorHAnsi" w:eastAsiaTheme="majorEastAsia" w:hAnsiTheme="majorHAnsi" w:cstheme="majorBidi"/>
          </w:rPr>
          <w:id w:val="104734790"/>
          <w:docPartObj>
            <w:docPartGallery w:val="Page Numbers (Margins)"/>
            <w:docPartUnique/>
          </w:docPartObj>
        </w:sdtPr>
        <w:sdtEndPr/>
        <w:sdtContent>
          <w:p w:rsidR="008D1780" w:rsidRDefault="007E5CAC">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D1780" w:rsidRDefault="00AC65E9">
                                  <w:pPr>
                                    <w:pStyle w:val="Pidipagina"/>
                                    <w:jc w:val="center"/>
                                    <w:rPr>
                                      <w:b/>
                                      <w:color w:val="FFFFFF" w:themeColor="background1"/>
                                      <w:sz w:val="32"/>
                                      <w:szCs w:val="32"/>
                                    </w:rPr>
                                  </w:pPr>
                                  <w:r>
                                    <w:fldChar w:fldCharType="begin"/>
                                  </w:r>
                                  <w:r>
                                    <w:instrText xml:space="preserve"> PAGE    \* MERGEFORMAT </w:instrText>
                                  </w:r>
                                  <w:r>
                                    <w:fldChar w:fldCharType="separate"/>
                                  </w:r>
                                  <w:r w:rsidR="007E5CAC" w:rsidRPr="007E5CAC">
                                    <w:rPr>
                                      <w:b/>
                                      <w:noProof/>
                                      <w:color w:val="FFFFFF" w:themeColor="background1"/>
                                      <w:sz w:val="32"/>
                                      <w:szCs w:val="32"/>
                                    </w:rPr>
                                    <w:t>1</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" fillcolor="#365f91 [2404]" stroked="f">
                      <v:textbox>
                        <w:txbxContent>
                          <w:p w:rsidR="008D1780" w:rsidRDefault="00AC65E9">
                            <w:pPr>
                              <w:pStyle w:val="Pidipagina"/>
                              <w:jc w:val="center"/>
                              <w:rPr>
                                <w:b/>
                                <w:color w:val="FFFFFF" w:themeColor="background1"/>
                                <w:sz w:val="32"/>
                                <w:szCs w:val="32"/>
                              </w:rPr>
                            </w:pPr>
                            <w:r>
                              <w:fldChar w:fldCharType="begin"/>
                            </w:r>
                            <w:r>
                              <w:instrText xml:space="preserve"> PAGE    \* MERGEFORMAT </w:instrText>
                            </w:r>
                            <w:r>
                              <w:fldChar w:fldCharType="separate"/>
                            </w:r>
                            <w:r w:rsidR="007E5CAC" w:rsidRPr="007E5CAC">
                              <w:rPr>
                                <w:b/>
                                <w:noProof/>
                                <w:color w:val="FFFFFF" w:themeColor="background1"/>
                                <w:sz w:val="32"/>
                                <w:szCs w:val="32"/>
                              </w:rPr>
                              <w:t>1</w:t>
                            </w:r>
                            <w:r>
                              <w:rPr>
                                <w:b/>
                                <w:noProof/>
                                <w:color w:val="FFFFFF" w:themeColor="background1"/>
                                <w:sz w:val="32"/>
                                <w:szCs w:val="32"/>
                              </w:rPr>
                              <w:fldChar w:fldCharType="end"/>
                            </w:r>
                          </w:p>
                        </w:txbxContent>
                      </v:textbox>
                      <w10:wrap anchorx="margin" anchory="margin"/>
                    </v:oval>
                  </w:pict>
                </mc:Fallback>
              </mc:AlternateContent>
            </w:r>
          </w:p>
        </w:sdtContent>
      </w:sdt>
    </w:sdtContent>
  </w:sdt>
  <w:p w:rsidR="008D1780" w:rsidRDefault="008D17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5E9" w:rsidRDefault="00AC65E9" w:rsidP="00E5645A">
      <w:pPr>
        <w:spacing w:after="0" w:line="240" w:lineRule="auto"/>
      </w:pPr>
      <w:r>
        <w:separator/>
      </w:r>
    </w:p>
  </w:footnote>
  <w:footnote w:type="continuationSeparator" w:id="0">
    <w:p w:rsidR="00AC65E9" w:rsidRDefault="00AC65E9" w:rsidP="00E56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3079"/>
    <w:multiLevelType w:val="hybridMultilevel"/>
    <w:tmpl w:val="C2EC92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04234A"/>
    <w:multiLevelType w:val="hybridMultilevel"/>
    <w:tmpl w:val="D6B8F4CE"/>
    <w:lvl w:ilvl="0" w:tplc="E3943BF0">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8EA0005"/>
    <w:multiLevelType w:val="hybridMultilevel"/>
    <w:tmpl w:val="21D2F2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033DE2"/>
    <w:multiLevelType w:val="hybridMultilevel"/>
    <w:tmpl w:val="DCAEA6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8798D"/>
    <w:multiLevelType w:val="multilevel"/>
    <w:tmpl w:val="B134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C0"/>
    <w:rsid w:val="000868A9"/>
    <w:rsid w:val="00092077"/>
    <w:rsid w:val="00094AC8"/>
    <w:rsid w:val="000D6C58"/>
    <w:rsid w:val="00130D38"/>
    <w:rsid w:val="00152767"/>
    <w:rsid w:val="002925A3"/>
    <w:rsid w:val="002E6752"/>
    <w:rsid w:val="003101EB"/>
    <w:rsid w:val="003140AC"/>
    <w:rsid w:val="00384A56"/>
    <w:rsid w:val="003E1FB0"/>
    <w:rsid w:val="003F2FC7"/>
    <w:rsid w:val="00421075"/>
    <w:rsid w:val="00431CE0"/>
    <w:rsid w:val="00471FDD"/>
    <w:rsid w:val="004A2BAF"/>
    <w:rsid w:val="0057717A"/>
    <w:rsid w:val="00585138"/>
    <w:rsid w:val="005D48C7"/>
    <w:rsid w:val="00697A25"/>
    <w:rsid w:val="006F4FE2"/>
    <w:rsid w:val="007B7C70"/>
    <w:rsid w:val="007D07F9"/>
    <w:rsid w:val="007D7459"/>
    <w:rsid w:val="007E5CAC"/>
    <w:rsid w:val="00892036"/>
    <w:rsid w:val="008D1780"/>
    <w:rsid w:val="009469B2"/>
    <w:rsid w:val="00950007"/>
    <w:rsid w:val="009C476D"/>
    <w:rsid w:val="009F7717"/>
    <w:rsid w:val="00A542C0"/>
    <w:rsid w:val="00A73988"/>
    <w:rsid w:val="00A814AF"/>
    <w:rsid w:val="00A87B5C"/>
    <w:rsid w:val="00AA3E77"/>
    <w:rsid w:val="00AC65E9"/>
    <w:rsid w:val="00AD0151"/>
    <w:rsid w:val="00B15B15"/>
    <w:rsid w:val="00B87E65"/>
    <w:rsid w:val="00BE4B85"/>
    <w:rsid w:val="00C26909"/>
    <w:rsid w:val="00C461F6"/>
    <w:rsid w:val="00C95932"/>
    <w:rsid w:val="00CB081F"/>
    <w:rsid w:val="00CE05E0"/>
    <w:rsid w:val="00CF06FA"/>
    <w:rsid w:val="00D10DB0"/>
    <w:rsid w:val="00D73CF0"/>
    <w:rsid w:val="00D74719"/>
    <w:rsid w:val="00DB41DC"/>
    <w:rsid w:val="00DE24E3"/>
    <w:rsid w:val="00E2540E"/>
    <w:rsid w:val="00E5645A"/>
    <w:rsid w:val="00EC006A"/>
    <w:rsid w:val="00ED1D53"/>
    <w:rsid w:val="00F157B6"/>
    <w:rsid w:val="00F86BEE"/>
    <w:rsid w:val="00FB0A99"/>
    <w:rsid w:val="00FE05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377C73-66BD-489B-B72B-217704EF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07F9"/>
  </w:style>
  <w:style w:type="paragraph" w:styleId="Titolo4">
    <w:name w:val="heading 4"/>
    <w:basedOn w:val="Normale"/>
    <w:next w:val="Normale"/>
    <w:link w:val="Titolo4Carattere"/>
    <w:uiPriority w:val="99"/>
    <w:qFormat/>
    <w:rsid w:val="00E5645A"/>
    <w:pPr>
      <w:keepNext/>
      <w:spacing w:before="240" w:after="60" w:line="288" w:lineRule="auto"/>
      <w:ind w:firstLine="709"/>
      <w:jc w:val="both"/>
      <w:outlineLvl w:val="3"/>
    </w:pPr>
    <w:rPr>
      <w:rFonts w:ascii="Times New Roman" w:eastAsiaTheme="minorEastAsia" w:hAnsi="Times New Roman"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542C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73C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3CF0"/>
    <w:rPr>
      <w:rFonts w:ascii="Tahoma" w:hAnsi="Tahoma" w:cs="Tahoma"/>
      <w:sz w:val="16"/>
      <w:szCs w:val="16"/>
    </w:rPr>
  </w:style>
  <w:style w:type="character" w:customStyle="1" w:styleId="Titolo4Carattere">
    <w:name w:val="Titolo 4 Carattere"/>
    <w:basedOn w:val="Carpredefinitoparagrafo"/>
    <w:link w:val="Titolo4"/>
    <w:uiPriority w:val="99"/>
    <w:rsid w:val="00E5645A"/>
    <w:rPr>
      <w:rFonts w:ascii="Times New Roman" w:eastAsiaTheme="minorEastAsia" w:hAnsi="Times New Roman" w:cs="Times New Roman"/>
      <w:b/>
      <w:bCs/>
      <w:sz w:val="28"/>
      <w:szCs w:val="28"/>
      <w:lang w:eastAsia="it-IT"/>
    </w:rPr>
  </w:style>
  <w:style w:type="paragraph" w:styleId="Paragrafoelenco">
    <w:name w:val="List Paragraph"/>
    <w:basedOn w:val="Normale"/>
    <w:uiPriority w:val="1"/>
    <w:qFormat/>
    <w:rsid w:val="00E5645A"/>
    <w:pPr>
      <w:ind w:left="720"/>
      <w:contextualSpacing/>
    </w:pPr>
    <w:rPr>
      <w:rFonts w:eastAsiaTheme="minorEastAsia"/>
      <w:lang w:eastAsia="it-IT"/>
    </w:rPr>
  </w:style>
  <w:style w:type="paragraph" w:styleId="Testonotaapidipagina">
    <w:name w:val="footnote text"/>
    <w:basedOn w:val="Normale"/>
    <w:link w:val="TestonotaapidipaginaCarattere"/>
    <w:uiPriority w:val="99"/>
    <w:unhideWhenUsed/>
    <w:rsid w:val="00E564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5645A"/>
    <w:rPr>
      <w:sz w:val="20"/>
      <w:szCs w:val="20"/>
    </w:rPr>
  </w:style>
  <w:style w:type="character" w:styleId="Rimandonotaapidipagina">
    <w:name w:val="footnote reference"/>
    <w:basedOn w:val="Carpredefinitoparagrafo"/>
    <w:uiPriority w:val="99"/>
    <w:semiHidden/>
    <w:unhideWhenUsed/>
    <w:rsid w:val="00E5645A"/>
    <w:rPr>
      <w:vertAlign w:val="superscript"/>
    </w:rPr>
  </w:style>
  <w:style w:type="paragraph" w:styleId="Intestazione">
    <w:name w:val="header"/>
    <w:basedOn w:val="Normale"/>
    <w:link w:val="IntestazioneCarattere"/>
    <w:uiPriority w:val="99"/>
    <w:semiHidden/>
    <w:unhideWhenUsed/>
    <w:rsid w:val="008D17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D1780"/>
  </w:style>
  <w:style w:type="paragraph" w:styleId="Pidipagina">
    <w:name w:val="footer"/>
    <w:basedOn w:val="Normale"/>
    <w:link w:val="PidipaginaCarattere"/>
    <w:uiPriority w:val="99"/>
    <w:unhideWhenUsed/>
    <w:rsid w:val="008D17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9418">
      <w:bodyDiv w:val="1"/>
      <w:marLeft w:val="0"/>
      <w:marRight w:val="0"/>
      <w:marTop w:val="0"/>
      <w:marBottom w:val="0"/>
      <w:divBdr>
        <w:top w:val="none" w:sz="0" w:space="0" w:color="auto"/>
        <w:left w:val="none" w:sz="0" w:space="0" w:color="auto"/>
        <w:bottom w:val="none" w:sz="0" w:space="0" w:color="auto"/>
        <w:right w:val="none" w:sz="0" w:space="0" w:color="auto"/>
      </w:divBdr>
      <w:divsChild>
        <w:div w:id="1201628753">
          <w:marLeft w:val="3917"/>
          <w:marRight w:val="0"/>
          <w:marTop w:val="0"/>
          <w:marBottom w:val="0"/>
          <w:divBdr>
            <w:top w:val="none" w:sz="0" w:space="0" w:color="auto"/>
            <w:left w:val="none" w:sz="0" w:space="0" w:color="auto"/>
            <w:bottom w:val="none" w:sz="0" w:space="0" w:color="auto"/>
            <w:right w:val="none" w:sz="0" w:space="0" w:color="auto"/>
          </w:divBdr>
          <w:divsChild>
            <w:div w:id="1928340364">
              <w:marLeft w:val="0"/>
              <w:marRight w:val="0"/>
              <w:marTop w:val="900"/>
              <w:marBottom w:val="0"/>
              <w:divBdr>
                <w:top w:val="none" w:sz="0" w:space="0" w:color="auto"/>
                <w:left w:val="none" w:sz="0" w:space="0" w:color="auto"/>
                <w:bottom w:val="none" w:sz="0" w:space="0" w:color="auto"/>
                <w:right w:val="none" w:sz="0" w:space="0" w:color="auto"/>
              </w:divBdr>
            </w:div>
          </w:divsChild>
        </w:div>
        <w:div w:id="1051878170">
          <w:marLeft w:val="0"/>
          <w:marRight w:val="0"/>
          <w:marTop w:val="2250"/>
          <w:marBottom w:val="0"/>
          <w:divBdr>
            <w:top w:val="none" w:sz="0" w:space="0" w:color="auto"/>
            <w:left w:val="none" w:sz="0" w:space="0" w:color="auto"/>
            <w:bottom w:val="none" w:sz="0" w:space="0" w:color="auto"/>
            <w:right w:val="none" w:sz="0" w:space="0" w:color="auto"/>
          </w:divBdr>
          <w:divsChild>
            <w:div w:id="102505842">
              <w:marLeft w:val="3917"/>
              <w:marRight w:val="0"/>
              <w:marTop w:val="0"/>
              <w:marBottom w:val="0"/>
              <w:divBdr>
                <w:top w:val="none" w:sz="0" w:space="0" w:color="auto"/>
                <w:left w:val="none" w:sz="0" w:space="0" w:color="auto"/>
                <w:bottom w:val="none" w:sz="0" w:space="0" w:color="auto"/>
                <w:right w:val="none" w:sz="0" w:space="0" w:color="auto"/>
              </w:divBdr>
              <w:divsChild>
                <w:div w:id="13526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4884">
      <w:bodyDiv w:val="1"/>
      <w:marLeft w:val="0"/>
      <w:marRight w:val="0"/>
      <w:marTop w:val="0"/>
      <w:marBottom w:val="0"/>
      <w:divBdr>
        <w:top w:val="none" w:sz="0" w:space="0" w:color="auto"/>
        <w:left w:val="none" w:sz="0" w:space="0" w:color="auto"/>
        <w:bottom w:val="none" w:sz="0" w:space="0" w:color="auto"/>
        <w:right w:val="none" w:sz="0" w:space="0" w:color="auto"/>
      </w:divBdr>
    </w:div>
    <w:div w:id="1959220143">
      <w:bodyDiv w:val="1"/>
      <w:marLeft w:val="0"/>
      <w:marRight w:val="0"/>
      <w:marTop w:val="0"/>
      <w:marBottom w:val="0"/>
      <w:divBdr>
        <w:top w:val="none" w:sz="0" w:space="0" w:color="auto"/>
        <w:left w:val="none" w:sz="0" w:space="0" w:color="auto"/>
        <w:bottom w:val="none" w:sz="0" w:space="0" w:color="auto"/>
        <w:right w:val="none" w:sz="0" w:space="0" w:color="auto"/>
      </w:divBdr>
      <w:divsChild>
        <w:div w:id="1195926949">
          <w:marLeft w:val="0"/>
          <w:marRight w:val="0"/>
          <w:marTop w:val="0"/>
          <w:marBottom w:val="30"/>
          <w:divBdr>
            <w:top w:val="single" w:sz="6" w:space="3" w:color="D0D0D0"/>
            <w:left w:val="single" w:sz="6" w:space="3" w:color="D0D0D0"/>
            <w:bottom w:val="single" w:sz="6" w:space="3" w:color="D0D0D0"/>
            <w:right w:val="single" w:sz="6" w:space="3" w:color="D0D0D0"/>
          </w:divBdr>
        </w:div>
        <w:div w:id="264193956">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m.europa.eu/content/how-will-pccl-work-under-revised-esm-treaty" TargetMode="External"/><Relationship Id="rId5" Type="http://schemas.openxmlformats.org/officeDocument/2006/relationships/webSettings" Target="webSettings.xml"/><Relationship Id="rId10" Type="http://schemas.openxmlformats.org/officeDocument/2006/relationships/hyperlink" Target="https://www.money.it/MES-sorveglianza-rafforzata-che-significa" TargetMode="External"/><Relationship Id="rId4" Type="http://schemas.openxmlformats.org/officeDocument/2006/relationships/settings" Target="settings.xml"/><Relationship Id="rId9" Type="http://schemas.openxmlformats.org/officeDocument/2006/relationships/hyperlink" Target="https://www.money.it/MES-senza-condizioni-che-significa"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75794-B0AA-43F4-B6E4-E9B81576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4390</Words>
  <Characters>25026</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scala</cp:lastModifiedBy>
  <cp:revision>2</cp:revision>
  <cp:lastPrinted>2020-10-29T16:25:00Z</cp:lastPrinted>
  <dcterms:created xsi:type="dcterms:W3CDTF">2020-11-13T19:14:00Z</dcterms:created>
  <dcterms:modified xsi:type="dcterms:W3CDTF">2020-11-13T19:14:00Z</dcterms:modified>
</cp:coreProperties>
</file>